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02F" w:rsidRPr="00A9402F" w:rsidRDefault="00A9402F" w:rsidP="00A9402F">
      <w:pPr>
        <w:jc w:val="center"/>
        <w:rPr>
          <w:rFonts w:ascii="Garamond" w:hAnsi="Garamond"/>
          <w:b/>
          <w:sz w:val="28"/>
          <w:szCs w:val="28"/>
          <w:lang w:val="fr-FR"/>
        </w:rPr>
      </w:pPr>
      <w:r w:rsidRPr="00A9402F">
        <w:rPr>
          <w:rFonts w:ascii="Garamond" w:hAnsi="Garamond"/>
          <w:b/>
          <w:sz w:val="28"/>
          <w:szCs w:val="28"/>
          <w:lang w:val="fr-FR"/>
        </w:rPr>
        <w:t>EKAMOH</w:t>
      </w:r>
    </w:p>
    <w:p w:rsidR="00A9402F" w:rsidRPr="00A9402F" w:rsidRDefault="00A9402F" w:rsidP="00A9402F">
      <w:pPr>
        <w:jc w:val="center"/>
        <w:rPr>
          <w:rFonts w:ascii="Garamond" w:hAnsi="Garamond"/>
          <w:b/>
          <w:sz w:val="28"/>
          <w:szCs w:val="28"/>
          <w:lang w:val="fr-FR"/>
        </w:rPr>
      </w:pPr>
      <w:r w:rsidRPr="00A9402F">
        <w:rPr>
          <w:rFonts w:ascii="Garamond" w:hAnsi="Garamond"/>
          <w:b/>
          <w:sz w:val="28"/>
          <w:szCs w:val="28"/>
          <w:lang w:val="fr-FR"/>
        </w:rPr>
        <w:t>ÉCOLE KABBALE DE MOSHE D’HAÏTI</w:t>
      </w:r>
    </w:p>
    <w:p w:rsidR="00A9402F" w:rsidRPr="00ED304B" w:rsidRDefault="00A9402F" w:rsidP="00A9402F">
      <w:pPr>
        <w:jc w:val="center"/>
        <w:rPr>
          <w:rFonts w:ascii="Garamond" w:hAnsi="Garamond"/>
          <w:b/>
          <w:i/>
          <w:sz w:val="28"/>
          <w:szCs w:val="28"/>
          <w:u w:val="single"/>
          <w:lang w:val="fr-FR"/>
        </w:rPr>
      </w:pPr>
      <w:r w:rsidRPr="00ED304B">
        <w:rPr>
          <w:rFonts w:ascii="Garamond" w:hAnsi="Garamond"/>
          <w:b/>
          <w:i/>
          <w:sz w:val="28"/>
          <w:szCs w:val="28"/>
          <w:u w:val="single"/>
          <w:lang w:val="fr-FR"/>
        </w:rPr>
        <w:t>LA THÉORIE D’ALEPH</w:t>
      </w:r>
    </w:p>
    <w:p w:rsidR="00A9402F" w:rsidRPr="00ED304B" w:rsidRDefault="0075118B" w:rsidP="00A9402F">
      <w:pPr>
        <w:jc w:val="center"/>
        <w:rPr>
          <w:rFonts w:ascii="Garamond" w:hAnsi="Garamond"/>
          <w:b/>
          <w:sz w:val="28"/>
          <w:szCs w:val="28"/>
          <w:lang w:val="fr-FR"/>
        </w:rPr>
      </w:pPr>
      <w:r>
        <w:rPr>
          <w:rFonts w:ascii="Garamond" w:hAnsi="Garamond"/>
          <w:b/>
          <w:sz w:val="28"/>
          <w:szCs w:val="28"/>
          <w:lang w:val="fr-FR"/>
        </w:rPr>
        <w:t>1</w:t>
      </w:r>
      <w:r w:rsidRPr="0075118B">
        <w:rPr>
          <w:rFonts w:ascii="Garamond" w:hAnsi="Garamond"/>
          <w:b/>
          <w:sz w:val="28"/>
          <w:szCs w:val="28"/>
          <w:vertAlign w:val="superscript"/>
          <w:lang w:val="fr-FR"/>
        </w:rPr>
        <w:t>E</w:t>
      </w:r>
      <w:r>
        <w:rPr>
          <w:rFonts w:ascii="Garamond" w:hAnsi="Garamond"/>
          <w:b/>
          <w:sz w:val="28"/>
          <w:szCs w:val="28"/>
          <w:lang w:val="fr-FR"/>
        </w:rPr>
        <w:t xml:space="preserve"> MOIS</w:t>
      </w:r>
    </w:p>
    <w:p w:rsidR="00A9402F" w:rsidRDefault="00A9402F" w:rsidP="00005877">
      <w:pPr>
        <w:pStyle w:val="Paragraphedeliste"/>
        <w:jc w:val="both"/>
        <w:rPr>
          <w:rFonts w:ascii="Garamond" w:hAnsi="Garamond"/>
          <w:b/>
          <w:sz w:val="28"/>
          <w:szCs w:val="28"/>
          <w:lang w:val="fr-FR"/>
        </w:rPr>
      </w:pPr>
    </w:p>
    <w:p w:rsidR="00A9402F" w:rsidRDefault="00A9402F" w:rsidP="00005877">
      <w:pPr>
        <w:pStyle w:val="Paragraphedeliste"/>
        <w:jc w:val="both"/>
        <w:rPr>
          <w:rFonts w:ascii="Garamond" w:hAnsi="Garamond"/>
          <w:b/>
          <w:sz w:val="28"/>
          <w:szCs w:val="28"/>
          <w:lang w:val="fr-FR"/>
        </w:rPr>
      </w:pPr>
    </w:p>
    <w:p w:rsidR="00A9402F" w:rsidRDefault="00A9402F" w:rsidP="00005877">
      <w:pPr>
        <w:pStyle w:val="Paragraphedeliste"/>
        <w:jc w:val="both"/>
        <w:rPr>
          <w:rFonts w:ascii="Garamond" w:hAnsi="Garamond"/>
          <w:b/>
          <w:sz w:val="28"/>
          <w:szCs w:val="28"/>
          <w:lang w:val="fr-FR"/>
        </w:rPr>
      </w:pPr>
    </w:p>
    <w:p w:rsidR="00A9402F" w:rsidRDefault="00ED304B" w:rsidP="00005877">
      <w:pPr>
        <w:pStyle w:val="Paragraphedeliste"/>
        <w:jc w:val="both"/>
        <w:rPr>
          <w:rFonts w:ascii="Garamond" w:hAnsi="Garamond"/>
          <w:b/>
          <w:sz w:val="28"/>
          <w:szCs w:val="28"/>
          <w:lang w:val="fr-FR"/>
        </w:rPr>
      </w:pPr>
      <w:r>
        <w:rPr>
          <w:rFonts w:ascii="Garamond" w:hAnsi="Garamond"/>
          <w:b/>
          <w:noProof/>
          <w:sz w:val="28"/>
          <w:szCs w:val="28"/>
        </w:rPr>
        <w:drawing>
          <wp:anchor distT="0" distB="0" distL="114300" distR="114300" simplePos="0" relativeHeight="251658240" behindDoc="0" locked="0" layoutInCell="1" allowOverlap="1" wp14:anchorId="02B892D6">
            <wp:simplePos x="0" y="0"/>
            <wp:positionH relativeFrom="column">
              <wp:posOffset>1228725</wp:posOffset>
            </wp:positionH>
            <wp:positionV relativeFrom="paragraph">
              <wp:posOffset>73025</wp:posOffset>
            </wp:positionV>
            <wp:extent cx="1688465" cy="2097405"/>
            <wp:effectExtent l="0" t="0" r="698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8465" cy="2097405"/>
                    </a:xfrm>
                    <a:prstGeom prst="rect">
                      <a:avLst/>
                    </a:prstGeom>
                    <a:noFill/>
                  </pic:spPr>
                </pic:pic>
              </a:graphicData>
            </a:graphic>
            <wp14:sizeRelH relativeFrom="page">
              <wp14:pctWidth>0</wp14:pctWidth>
            </wp14:sizeRelH>
            <wp14:sizeRelV relativeFrom="page">
              <wp14:pctHeight>0</wp14:pctHeight>
            </wp14:sizeRelV>
          </wp:anchor>
        </w:drawing>
      </w:r>
    </w:p>
    <w:p w:rsidR="00ED304B" w:rsidRDefault="00ED304B" w:rsidP="00005877">
      <w:pPr>
        <w:pStyle w:val="Paragraphedeliste"/>
        <w:jc w:val="both"/>
        <w:rPr>
          <w:rFonts w:ascii="Garamond" w:hAnsi="Garamond"/>
          <w:b/>
          <w:sz w:val="28"/>
          <w:szCs w:val="28"/>
          <w:lang w:val="fr-FR"/>
        </w:rPr>
      </w:pPr>
    </w:p>
    <w:p w:rsidR="00ED304B" w:rsidRDefault="00ED304B" w:rsidP="00005877">
      <w:pPr>
        <w:pStyle w:val="Paragraphedeliste"/>
        <w:jc w:val="both"/>
        <w:rPr>
          <w:rFonts w:ascii="Garamond" w:hAnsi="Garamond"/>
          <w:b/>
          <w:sz w:val="28"/>
          <w:szCs w:val="28"/>
          <w:lang w:val="fr-FR"/>
        </w:rPr>
      </w:pPr>
    </w:p>
    <w:p w:rsidR="00ED304B" w:rsidRDefault="00ED304B" w:rsidP="00005877">
      <w:pPr>
        <w:pStyle w:val="Paragraphedeliste"/>
        <w:jc w:val="both"/>
        <w:rPr>
          <w:rFonts w:ascii="Garamond" w:hAnsi="Garamond"/>
          <w:b/>
          <w:sz w:val="28"/>
          <w:szCs w:val="28"/>
          <w:lang w:val="fr-FR"/>
        </w:rPr>
      </w:pPr>
    </w:p>
    <w:p w:rsidR="00ED304B" w:rsidRDefault="00ED304B" w:rsidP="00ED304B">
      <w:pPr>
        <w:pStyle w:val="Paragraphedeliste"/>
        <w:jc w:val="center"/>
        <w:rPr>
          <w:rFonts w:ascii="Garamond" w:hAnsi="Garamond"/>
          <w:b/>
          <w:sz w:val="28"/>
          <w:szCs w:val="28"/>
          <w:lang w:val="fr-FR"/>
        </w:rPr>
      </w:pPr>
    </w:p>
    <w:p w:rsidR="00ED304B" w:rsidRDefault="00ED304B" w:rsidP="00005877">
      <w:pPr>
        <w:pStyle w:val="Paragraphedeliste"/>
        <w:jc w:val="both"/>
        <w:rPr>
          <w:rFonts w:ascii="Garamond" w:hAnsi="Garamond"/>
          <w:b/>
          <w:sz w:val="28"/>
          <w:szCs w:val="28"/>
          <w:lang w:val="fr-FR"/>
        </w:rPr>
      </w:pPr>
    </w:p>
    <w:p w:rsidR="00ED304B" w:rsidRDefault="00ED304B" w:rsidP="00005877">
      <w:pPr>
        <w:pStyle w:val="Paragraphedeliste"/>
        <w:jc w:val="both"/>
        <w:rPr>
          <w:rFonts w:ascii="Garamond" w:hAnsi="Garamond"/>
          <w:b/>
          <w:sz w:val="28"/>
          <w:szCs w:val="28"/>
          <w:lang w:val="fr-FR"/>
        </w:rPr>
      </w:pPr>
    </w:p>
    <w:p w:rsidR="00ED304B" w:rsidRDefault="00ED304B" w:rsidP="00005877">
      <w:pPr>
        <w:pStyle w:val="Paragraphedeliste"/>
        <w:jc w:val="both"/>
        <w:rPr>
          <w:rFonts w:ascii="Garamond" w:hAnsi="Garamond"/>
          <w:b/>
          <w:sz w:val="28"/>
          <w:szCs w:val="28"/>
          <w:lang w:val="fr-FR"/>
        </w:rPr>
      </w:pPr>
    </w:p>
    <w:p w:rsidR="00ED304B" w:rsidRDefault="00ED304B" w:rsidP="00005877">
      <w:pPr>
        <w:pStyle w:val="Paragraphedeliste"/>
        <w:jc w:val="both"/>
        <w:rPr>
          <w:rFonts w:ascii="Garamond" w:hAnsi="Garamond"/>
          <w:b/>
          <w:sz w:val="28"/>
          <w:szCs w:val="28"/>
          <w:lang w:val="fr-FR"/>
        </w:rPr>
      </w:pPr>
    </w:p>
    <w:p w:rsidR="00ED304B" w:rsidRDefault="00ED304B" w:rsidP="00005877">
      <w:pPr>
        <w:pStyle w:val="Paragraphedeliste"/>
        <w:jc w:val="both"/>
        <w:rPr>
          <w:rFonts w:ascii="Garamond" w:hAnsi="Garamond"/>
          <w:b/>
          <w:sz w:val="28"/>
          <w:szCs w:val="28"/>
          <w:lang w:val="fr-FR"/>
        </w:rPr>
      </w:pPr>
    </w:p>
    <w:p w:rsidR="00ED304B" w:rsidRDefault="00ED304B" w:rsidP="00005877">
      <w:pPr>
        <w:pStyle w:val="Paragraphedeliste"/>
        <w:jc w:val="both"/>
        <w:rPr>
          <w:rFonts w:ascii="Garamond" w:hAnsi="Garamond"/>
          <w:b/>
          <w:sz w:val="28"/>
          <w:szCs w:val="28"/>
          <w:lang w:val="fr-FR"/>
        </w:rPr>
      </w:pPr>
    </w:p>
    <w:p w:rsidR="00ED304B" w:rsidRDefault="00ED304B" w:rsidP="00005877">
      <w:pPr>
        <w:pStyle w:val="Paragraphedeliste"/>
        <w:jc w:val="both"/>
        <w:rPr>
          <w:rFonts w:ascii="Garamond" w:hAnsi="Garamond"/>
          <w:b/>
          <w:sz w:val="28"/>
          <w:szCs w:val="28"/>
          <w:lang w:val="fr-FR"/>
        </w:rPr>
      </w:pPr>
    </w:p>
    <w:p w:rsidR="00ED304B" w:rsidRDefault="00ED304B" w:rsidP="00005877">
      <w:pPr>
        <w:pStyle w:val="Paragraphedeliste"/>
        <w:jc w:val="both"/>
        <w:rPr>
          <w:rFonts w:ascii="Garamond" w:hAnsi="Garamond"/>
          <w:b/>
          <w:sz w:val="28"/>
          <w:szCs w:val="28"/>
          <w:lang w:val="fr-FR"/>
        </w:rPr>
      </w:pPr>
    </w:p>
    <w:p w:rsidR="00ED304B" w:rsidRPr="00ED304B" w:rsidRDefault="00ED304B" w:rsidP="00ED304B">
      <w:pPr>
        <w:jc w:val="center"/>
        <w:rPr>
          <w:rFonts w:ascii="Garamond" w:hAnsi="Garamond"/>
          <w:b/>
          <w:i/>
          <w:sz w:val="28"/>
          <w:szCs w:val="28"/>
          <w:lang w:val="fr-FR"/>
        </w:rPr>
      </w:pPr>
      <w:r w:rsidRPr="00ED304B">
        <w:rPr>
          <w:rFonts w:ascii="Garamond" w:hAnsi="Garamond"/>
          <w:b/>
          <w:i/>
          <w:sz w:val="28"/>
          <w:szCs w:val="28"/>
          <w:lang w:val="fr-FR"/>
        </w:rPr>
        <w:t>L’HISTOIRE DE LA KABBALE À TRAVERS LE TEMPS</w:t>
      </w:r>
    </w:p>
    <w:p w:rsidR="00ED304B" w:rsidRPr="00ED304B" w:rsidRDefault="00ED304B" w:rsidP="00ED304B">
      <w:pPr>
        <w:rPr>
          <w:rFonts w:ascii="Garamond" w:hAnsi="Garamond"/>
          <w:sz w:val="28"/>
          <w:szCs w:val="28"/>
          <w:lang w:val="fr-FR"/>
        </w:rPr>
      </w:pPr>
    </w:p>
    <w:p w:rsidR="00A9402F" w:rsidRPr="00ED304B" w:rsidRDefault="00ED304B" w:rsidP="00ED304B">
      <w:pPr>
        <w:jc w:val="center"/>
        <w:rPr>
          <w:rFonts w:ascii="Garamond" w:hAnsi="Garamond"/>
          <w:sz w:val="26"/>
          <w:szCs w:val="26"/>
          <w:lang w:val="fr-FR"/>
        </w:rPr>
      </w:pPr>
      <w:r w:rsidRPr="00ED304B">
        <w:rPr>
          <w:rFonts w:ascii="Arial" w:hAnsi="Arial" w:cs="Arial"/>
          <w:color w:val="000000"/>
          <w:sz w:val="26"/>
          <w:szCs w:val="26"/>
          <w:lang w:val="fr-FR"/>
        </w:rPr>
        <w:t> </w:t>
      </w:r>
      <w:r w:rsidRPr="00ED304B">
        <w:rPr>
          <w:rFonts w:ascii="Garamond" w:hAnsi="Garamond" w:cs="Arial"/>
          <w:color w:val="000000"/>
          <w:sz w:val="26"/>
          <w:szCs w:val="26"/>
          <w:lang w:val="fr-FR"/>
        </w:rPr>
        <w:t xml:space="preserve"> « Le Paradis de la connaissance »</w:t>
      </w:r>
    </w:p>
    <w:p w:rsidR="00824853" w:rsidRPr="00824853" w:rsidRDefault="00824853" w:rsidP="00005877">
      <w:pPr>
        <w:pStyle w:val="Paragraphedeliste"/>
        <w:jc w:val="both"/>
        <w:rPr>
          <w:rFonts w:ascii="Garamond" w:hAnsi="Garamond"/>
          <w:b/>
          <w:sz w:val="28"/>
          <w:szCs w:val="28"/>
          <w:lang w:val="fr-FR"/>
        </w:rPr>
      </w:pPr>
      <w:r w:rsidRPr="00824853">
        <w:rPr>
          <w:rFonts w:ascii="Garamond" w:hAnsi="Garamond"/>
          <w:b/>
          <w:sz w:val="28"/>
          <w:szCs w:val="28"/>
          <w:lang w:val="fr-FR"/>
        </w:rPr>
        <w:lastRenderedPageBreak/>
        <w:t>L’histoire d</w:t>
      </w:r>
      <w:r>
        <w:rPr>
          <w:rFonts w:ascii="Garamond" w:hAnsi="Garamond"/>
          <w:b/>
          <w:sz w:val="28"/>
          <w:szCs w:val="28"/>
          <w:lang w:val="fr-FR"/>
        </w:rPr>
        <w:t>e la kabbale à travers le temps</w:t>
      </w:r>
    </w:p>
    <w:p w:rsidR="00824853" w:rsidRDefault="00824853" w:rsidP="00005877">
      <w:pPr>
        <w:pStyle w:val="Paragraphedeliste"/>
        <w:jc w:val="both"/>
        <w:rPr>
          <w:rFonts w:ascii="Garamond" w:hAnsi="Garamond"/>
          <w:sz w:val="28"/>
          <w:szCs w:val="28"/>
          <w:lang w:val="fr-FR"/>
        </w:rPr>
      </w:pPr>
      <w:r w:rsidRPr="00814AA9">
        <w:rPr>
          <w:rFonts w:ascii="Garamond" w:hAnsi="Garamond"/>
          <w:sz w:val="28"/>
          <w:szCs w:val="28"/>
          <w:lang w:val="fr-FR"/>
        </w:rPr>
        <w:t xml:space="preserve"> </w:t>
      </w:r>
    </w:p>
    <w:p w:rsidR="00824853" w:rsidRPr="00824853" w:rsidRDefault="00824853" w:rsidP="00005877">
      <w:pPr>
        <w:spacing w:after="36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color w:val="3A3A3A"/>
          <w:sz w:val="28"/>
          <w:szCs w:val="28"/>
          <w:lang w:val="fr-FR" w:eastAsia="fr-FR"/>
        </w:rPr>
        <w:t>Pour commencer, nous pouvons dire que la kabbale est une explication de l’univers enracinée dans la tradition juive. Même si tout au long de l’histoire plusieurs influences y ont été intégrées, son</w:t>
      </w:r>
      <w:r w:rsidR="00D429E9">
        <w:rPr>
          <w:rFonts w:ascii="Garamond" w:eastAsia="Times New Roman" w:hAnsi="Garamond" w:cs="Segoe UI"/>
          <w:color w:val="3A3A3A"/>
          <w:sz w:val="28"/>
          <w:szCs w:val="28"/>
          <w:lang w:val="fr-FR" w:eastAsia="fr-FR"/>
        </w:rPr>
        <w:t xml:space="preserve"> noyau</w:t>
      </w:r>
      <w:r w:rsidRPr="00824853">
        <w:rPr>
          <w:rFonts w:ascii="Garamond" w:eastAsia="Times New Roman" w:hAnsi="Garamond" w:cs="Segoe UI"/>
          <w:color w:val="3A3A3A"/>
          <w:sz w:val="28"/>
          <w:szCs w:val="28"/>
          <w:lang w:val="fr-FR" w:eastAsia="fr-FR"/>
        </w:rPr>
        <w:t xml:space="preserve"> demeure la tradition biblique monothéiste.</w:t>
      </w:r>
    </w:p>
    <w:p w:rsidR="00824853" w:rsidRPr="00824853" w:rsidRDefault="00824853" w:rsidP="00005877">
      <w:pPr>
        <w:spacing w:after="36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color w:val="3A3A3A"/>
          <w:sz w:val="28"/>
          <w:szCs w:val="28"/>
          <w:lang w:val="fr-FR" w:eastAsia="fr-FR"/>
        </w:rPr>
        <w:t>C’est pourquoi il est</w:t>
      </w:r>
      <w:r w:rsidR="00D429E9">
        <w:rPr>
          <w:rFonts w:ascii="Garamond" w:eastAsia="Times New Roman" w:hAnsi="Garamond" w:cs="Segoe UI"/>
          <w:color w:val="3A3A3A"/>
          <w:sz w:val="28"/>
          <w:szCs w:val="28"/>
          <w:lang w:val="fr-FR" w:eastAsia="fr-FR"/>
        </w:rPr>
        <w:t xml:space="preserve"> important</w:t>
      </w:r>
      <w:r w:rsidRPr="00824853">
        <w:rPr>
          <w:rFonts w:ascii="Garamond" w:eastAsia="Times New Roman" w:hAnsi="Garamond" w:cs="Segoe UI"/>
          <w:color w:val="3A3A3A"/>
          <w:sz w:val="28"/>
          <w:szCs w:val="28"/>
          <w:lang w:val="fr-FR" w:eastAsia="fr-FR"/>
        </w:rPr>
        <w:t xml:space="preserve"> de rappeler que d’autres représentations du cosmos et de l’être humain existent sans être bibliques.</w:t>
      </w:r>
    </w:p>
    <w:p w:rsidR="00824853" w:rsidRPr="00824853" w:rsidRDefault="00824853" w:rsidP="00005877">
      <w:pPr>
        <w:spacing w:after="36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color w:val="3A3A3A"/>
          <w:sz w:val="28"/>
          <w:szCs w:val="28"/>
          <w:lang w:val="fr-FR" w:eastAsia="fr-FR"/>
        </w:rPr>
        <w:t>Cette tradition religieuse fut transmise à partir de Moïse à Joshua, suivi des Juges puis des Rois. (Nous pouvons suivre cette tradition dans la Bible</w:t>
      </w:r>
      <w:r w:rsidR="00000127">
        <w:rPr>
          <w:rFonts w:ascii="Garamond" w:eastAsia="Times New Roman" w:hAnsi="Garamond" w:cs="Segoe UI"/>
          <w:color w:val="3A3A3A"/>
          <w:sz w:val="28"/>
          <w:szCs w:val="28"/>
          <w:lang w:val="fr-FR" w:eastAsia="fr-FR"/>
        </w:rPr>
        <w:t xml:space="preserve"> </w:t>
      </w:r>
      <w:r w:rsidRPr="00824853">
        <w:rPr>
          <w:rFonts w:ascii="Garamond" w:eastAsia="Times New Roman" w:hAnsi="Garamond" w:cs="Segoe UI"/>
          <w:color w:val="3A3A3A"/>
          <w:sz w:val="28"/>
          <w:szCs w:val="28"/>
          <w:lang w:val="fr-FR" w:eastAsia="fr-FR"/>
        </w:rPr>
        <w:t xml:space="preserve">elle-même). Le sacerdoce du Temple possédait cette tradition religieuse en dépôt mais avait parfois </w:t>
      </w:r>
      <w:bookmarkStart w:id="0" w:name="_GoBack"/>
      <w:bookmarkEnd w:id="0"/>
      <w:r w:rsidRPr="00824853">
        <w:rPr>
          <w:rFonts w:ascii="Garamond" w:eastAsia="Times New Roman" w:hAnsi="Garamond" w:cs="Segoe UI"/>
          <w:color w:val="3A3A3A"/>
          <w:sz w:val="28"/>
          <w:szCs w:val="28"/>
          <w:lang w:val="fr-FR" w:eastAsia="fr-FR"/>
        </w:rPr>
        <w:t>besoin de l’aide des Juges et Prophètes pour pallier aux difficultés de transmission. Bien évidemment le texte fut parfaitement et fidèlement transmis, bien que trop souvent selon la lettre.</w:t>
      </w:r>
    </w:p>
    <w:p w:rsidR="00824853" w:rsidRPr="00824853" w:rsidRDefault="00824853" w:rsidP="00005877">
      <w:pPr>
        <w:spacing w:after="36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color w:val="3A3A3A"/>
          <w:sz w:val="28"/>
          <w:szCs w:val="28"/>
          <w:lang w:val="fr-FR" w:eastAsia="fr-FR"/>
        </w:rPr>
        <w:t xml:space="preserve">Le souffle de l’esprit était pourtant nécessaire pour conserver l’héritage de cette révélation à travers une sorte de continuité du contact avec Dieu. Les Prophètes assurèrent cette fonction de la même façon que les oracles de l’antiquité recevaient le message divin qui témoignait de cette réalité transcendante. Mais même dans ce cas, les commentaires ou autorités avaient du mal à quitter le texte littéral pour s’élever </w:t>
      </w:r>
      <w:r w:rsidRPr="00824853">
        <w:rPr>
          <w:rFonts w:ascii="Garamond" w:eastAsia="Times New Roman" w:hAnsi="Garamond" w:cs="Segoe UI"/>
          <w:color w:val="3A3A3A"/>
          <w:sz w:val="28"/>
          <w:szCs w:val="28"/>
          <w:lang w:val="fr-FR" w:eastAsia="fr-FR"/>
        </w:rPr>
        <w:lastRenderedPageBreak/>
        <w:t>au commentaire mystique ou spirituel du texte original. Or le mysticisme a toujours été une partie essentielle de la vie spirituelle juive. La tradition suggère fortement que la source fut Abraham lui-même.</w:t>
      </w:r>
    </w:p>
    <w:p w:rsidR="00824853" w:rsidRPr="00824853" w:rsidRDefault="009217ED" w:rsidP="00005877">
      <w:pPr>
        <w:spacing w:after="360" w:line="240" w:lineRule="auto"/>
        <w:jc w:val="both"/>
        <w:rPr>
          <w:rFonts w:ascii="Garamond" w:eastAsia="Times New Roman" w:hAnsi="Garamond" w:cs="Segoe UI"/>
          <w:color w:val="3A3A3A"/>
          <w:sz w:val="28"/>
          <w:szCs w:val="28"/>
          <w:lang w:val="fr-FR" w:eastAsia="fr-FR"/>
        </w:rPr>
      </w:pPr>
      <w:r>
        <w:rPr>
          <w:rFonts w:ascii="Garamond" w:eastAsia="Times New Roman" w:hAnsi="Garamond" w:cs="Segoe UI"/>
          <w:color w:val="3A3A3A"/>
          <w:sz w:val="28"/>
          <w:szCs w:val="28"/>
          <w:lang w:val="fr-FR" w:eastAsia="fr-FR"/>
        </w:rPr>
        <w:t>De nos jours, i</w:t>
      </w:r>
      <w:r w:rsidR="00824853" w:rsidRPr="00824853">
        <w:rPr>
          <w:rFonts w:ascii="Garamond" w:eastAsia="Times New Roman" w:hAnsi="Garamond" w:cs="Segoe UI"/>
          <w:color w:val="3A3A3A"/>
          <w:sz w:val="28"/>
          <w:szCs w:val="28"/>
          <w:lang w:val="fr-FR" w:eastAsia="fr-FR"/>
        </w:rPr>
        <w:t>l est habituel d’affirmer que la Kabbale s’applique exclusivement à un ensemble de littérature ésotérique qui émergea dans l’Espagne médiévale et le Sud-est de la France, en Provence. C’est à partir de là qu’elle continua à s’épanouir.</w:t>
      </w:r>
    </w:p>
    <w:p w:rsidR="00824853" w:rsidRPr="00824853" w:rsidRDefault="00824853" w:rsidP="00005877">
      <w:pPr>
        <w:spacing w:after="36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color w:val="3A3A3A"/>
          <w:sz w:val="28"/>
          <w:szCs w:val="28"/>
          <w:lang w:val="fr-FR" w:eastAsia="fr-FR"/>
        </w:rPr>
        <w:t>Il est juste que deux mille ans plus tôt les rabbins du Talmud n’avaient pas employé ce mot, mais plutôt parlé de « </w:t>
      </w:r>
      <w:proofErr w:type="spellStart"/>
      <w:r w:rsidRPr="00824853">
        <w:rPr>
          <w:rFonts w:ascii="Garamond" w:eastAsia="Times New Roman" w:hAnsi="Garamond" w:cs="Segoe UI"/>
          <w:color w:val="3A3A3A"/>
          <w:sz w:val="28"/>
          <w:szCs w:val="28"/>
          <w:lang w:val="fr-FR" w:eastAsia="fr-FR"/>
        </w:rPr>
        <w:t>nistar</w:t>
      </w:r>
      <w:proofErr w:type="spellEnd"/>
      <w:r w:rsidRPr="00824853">
        <w:rPr>
          <w:rFonts w:ascii="Garamond" w:eastAsia="Times New Roman" w:hAnsi="Garamond" w:cs="Segoe UI"/>
          <w:color w:val="3A3A3A"/>
          <w:sz w:val="28"/>
          <w:szCs w:val="28"/>
          <w:lang w:val="fr-FR" w:eastAsia="fr-FR"/>
        </w:rPr>
        <w:t xml:space="preserve"> », qui correspond au monde secret de </w:t>
      </w:r>
      <w:r w:rsidR="009217ED">
        <w:rPr>
          <w:rFonts w:ascii="Garamond" w:eastAsia="Times New Roman" w:hAnsi="Garamond" w:cs="Segoe UI"/>
          <w:color w:val="3A3A3A"/>
          <w:sz w:val="28"/>
          <w:szCs w:val="28"/>
          <w:lang w:val="fr-FR" w:eastAsia="fr-FR"/>
        </w:rPr>
        <w:t xml:space="preserve">la </w:t>
      </w:r>
      <w:r w:rsidRPr="00824853">
        <w:rPr>
          <w:rFonts w:ascii="Garamond" w:eastAsia="Times New Roman" w:hAnsi="Garamond" w:cs="Segoe UI"/>
          <w:color w:val="3A3A3A"/>
          <w:sz w:val="28"/>
          <w:szCs w:val="28"/>
          <w:lang w:val="fr-FR" w:eastAsia="fr-FR"/>
        </w:rPr>
        <w:t>Torah celui-ci étant mis en parallèle avec le « </w:t>
      </w:r>
      <w:proofErr w:type="spellStart"/>
      <w:r w:rsidRPr="00824853">
        <w:rPr>
          <w:rFonts w:ascii="Garamond" w:eastAsia="Times New Roman" w:hAnsi="Garamond" w:cs="Segoe UI"/>
          <w:color w:val="3A3A3A"/>
          <w:sz w:val="28"/>
          <w:szCs w:val="28"/>
          <w:lang w:val="fr-FR" w:eastAsia="fr-FR"/>
        </w:rPr>
        <w:t>niglah</w:t>
      </w:r>
      <w:proofErr w:type="spellEnd"/>
      <w:r w:rsidRPr="00824853">
        <w:rPr>
          <w:rFonts w:ascii="Garamond" w:eastAsia="Times New Roman" w:hAnsi="Garamond" w:cs="Segoe UI"/>
          <w:color w:val="3A3A3A"/>
          <w:sz w:val="28"/>
          <w:szCs w:val="28"/>
          <w:lang w:val="fr-FR" w:eastAsia="fr-FR"/>
        </w:rPr>
        <w:t> », c’est-à-dire ce qui est révélé. Il n’en reste pas moins que les racines de cette tradition remontent sans équivoque beaucoup plus loin et même très certainement dans les religions païennes de Babylonie. La tradition juive s’appropriera une part de cet héritage, en l’adaptant à ses textes sacrés.</w:t>
      </w:r>
    </w:p>
    <w:p w:rsidR="00824853" w:rsidRPr="00824853" w:rsidRDefault="00824853" w:rsidP="00005877">
      <w:pPr>
        <w:spacing w:after="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color w:val="3A3A3A"/>
          <w:sz w:val="28"/>
          <w:szCs w:val="28"/>
          <w:lang w:val="fr-FR" w:eastAsia="fr-FR"/>
        </w:rPr>
        <w:t xml:space="preserve">Ces périodes de l’histoire de la religion juive furent des temps de conflits sectaires. Comme toute époque de ce genre, elles </w:t>
      </w:r>
      <w:r w:rsidR="009217ED">
        <w:rPr>
          <w:rFonts w:ascii="Garamond" w:eastAsia="Times New Roman" w:hAnsi="Garamond" w:cs="Segoe UI"/>
          <w:color w:val="3A3A3A"/>
          <w:sz w:val="28"/>
          <w:szCs w:val="28"/>
          <w:lang w:val="fr-FR" w:eastAsia="fr-FR"/>
        </w:rPr>
        <w:t>ont été</w:t>
      </w:r>
      <w:r w:rsidRPr="00824853">
        <w:rPr>
          <w:rFonts w:ascii="Garamond" w:eastAsia="Times New Roman" w:hAnsi="Garamond" w:cs="Segoe UI"/>
          <w:color w:val="3A3A3A"/>
          <w:sz w:val="28"/>
          <w:szCs w:val="28"/>
          <w:lang w:val="fr-FR" w:eastAsia="fr-FR"/>
        </w:rPr>
        <w:t xml:space="preserve"> en même temps riches en réflexions théologiques issues de plusieurs groupes et sectes. Les rabbins qui rédigeaient le Talmud cherchaient quant à eux à maintenir une certaine orthodoxie et se méfiaient évidemment de toute dérive trop sectaire. Ils se référèrent donc à cette mystique sous le nom générique de </w:t>
      </w:r>
      <w:proofErr w:type="spellStart"/>
      <w:r w:rsidRPr="00824853">
        <w:rPr>
          <w:rFonts w:ascii="Garamond" w:eastAsia="Times New Roman" w:hAnsi="Garamond" w:cs="Segoe UI"/>
          <w:color w:val="3A3A3A"/>
          <w:sz w:val="28"/>
          <w:szCs w:val="28"/>
          <w:lang w:val="fr-FR" w:eastAsia="fr-FR"/>
        </w:rPr>
        <w:t>Ma’aseh</w:t>
      </w:r>
      <w:proofErr w:type="spellEnd"/>
      <w:r w:rsidRPr="00824853">
        <w:rPr>
          <w:rFonts w:ascii="Garamond" w:eastAsia="Times New Roman" w:hAnsi="Garamond" w:cs="Segoe UI"/>
          <w:color w:val="3A3A3A"/>
          <w:sz w:val="28"/>
          <w:szCs w:val="28"/>
          <w:lang w:val="fr-FR" w:eastAsia="fr-FR"/>
        </w:rPr>
        <w:t xml:space="preserve"> </w:t>
      </w:r>
      <w:proofErr w:type="spellStart"/>
      <w:r w:rsidRPr="00824853">
        <w:rPr>
          <w:rFonts w:ascii="Garamond" w:eastAsia="Times New Roman" w:hAnsi="Garamond" w:cs="Segoe UI"/>
          <w:color w:val="3A3A3A"/>
          <w:sz w:val="28"/>
          <w:szCs w:val="28"/>
          <w:lang w:val="fr-FR" w:eastAsia="fr-FR"/>
        </w:rPr>
        <w:t>Merkava</w:t>
      </w:r>
      <w:proofErr w:type="spellEnd"/>
      <w:r w:rsidRPr="00824853">
        <w:rPr>
          <w:rFonts w:ascii="Garamond" w:eastAsia="Times New Roman" w:hAnsi="Garamond" w:cs="Segoe UI"/>
          <w:color w:val="3A3A3A"/>
          <w:sz w:val="28"/>
          <w:szCs w:val="28"/>
          <w:lang w:val="fr-FR" w:eastAsia="fr-FR"/>
        </w:rPr>
        <w:t xml:space="preserve">. Le Talmud </w:t>
      </w:r>
      <w:r w:rsidRPr="00824853">
        <w:rPr>
          <w:rFonts w:ascii="Garamond" w:eastAsia="Times New Roman" w:hAnsi="Garamond" w:cs="Segoe UI"/>
          <w:color w:val="3A3A3A"/>
          <w:sz w:val="28"/>
          <w:szCs w:val="28"/>
          <w:lang w:val="fr-FR" w:eastAsia="fr-FR"/>
        </w:rPr>
        <w:lastRenderedPageBreak/>
        <w:t>insiste sur le fait que ce qui a trait à cette connaissance ne doit pas être enseigné aux masses, mais seulement à ceux qui ont la maturité nécessaire à cette étude. On peut dire qu’il s’agit de la source de ce qui sera un peu plus tard appelé </w:t>
      </w:r>
      <w:r w:rsidRPr="00824853">
        <w:rPr>
          <w:rFonts w:ascii="Garamond" w:eastAsia="Times New Roman" w:hAnsi="Garamond" w:cs="Segoe UI"/>
          <w:i/>
          <w:iCs/>
          <w:color w:val="3A3A3A"/>
          <w:sz w:val="28"/>
          <w:szCs w:val="28"/>
          <w:bdr w:val="none" w:sz="0" w:space="0" w:color="auto" w:frame="1"/>
          <w:lang w:val="fr-FR" w:eastAsia="fr-FR"/>
        </w:rPr>
        <w:t>kabbale</w:t>
      </w:r>
      <w:r w:rsidRPr="00824853">
        <w:rPr>
          <w:rFonts w:ascii="Garamond" w:eastAsia="Times New Roman" w:hAnsi="Garamond" w:cs="Segoe UI"/>
          <w:color w:val="3A3A3A"/>
          <w:sz w:val="28"/>
          <w:szCs w:val="28"/>
          <w:lang w:val="fr-FR" w:eastAsia="fr-FR"/>
        </w:rPr>
        <w:t>.</w:t>
      </w:r>
    </w:p>
    <w:p w:rsidR="00824853" w:rsidRPr="00EA55F9" w:rsidRDefault="00824853" w:rsidP="00EA55F9">
      <w:pPr>
        <w:jc w:val="both"/>
        <w:rPr>
          <w:rFonts w:ascii="Garamond" w:hAnsi="Garamond"/>
          <w:sz w:val="28"/>
          <w:szCs w:val="28"/>
          <w:lang w:val="fr-FR"/>
        </w:rPr>
      </w:pPr>
    </w:p>
    <w:p w:rsidR="00824853" w:rsidRPr="005162AF" w:rsidRDefault="00824853" w:rsidP="00005877">
      <w:pPr>
        <w:spacing w:after="0" w:line="288" w:lineRule="atLeast"/>
        <w:jc w:val="both"/>
        <w:outlineLvl w:val="0"/>
        <w:rPr>
          <w:rFonts w:ascii="Garamond" w:eastAsia="Times New Roman" w:hAnsi="Garamond" w:cs="Times New Roman"/>
          <w:b/>
          <w:bCs/>
          <w:kern w:val="36"/>
          <w:sz w:val="28"/>
          <w:szCs w:val="28"/>
          <w:lang w:val="fr-FR" w:eastAsia="fr-FR"/>
        </w:rPr>
      </w:pPr>
      <w:r w:rsidRPr="005162AF">
        <w:rPr>
          <w:rFonts w:ascii="Garamond" w:eastAsia="Times New Roman" w:hAnsi="Garamond" w:cs="Times New Roman"/>
          <w:b/>
          <w:bCs/>
          <w:kern w:val="36"/>
          <w:sz w:val="28"/>
          <w:szCs w:val="28"/>
          <w:lang w:val="fr-FR" w:eastAsia="fr-FR"/>
        </w:rPr>
        <w:t>Les livres</w:t>
      </w:r>
    </w:p>
    <w:p w:rsidR="00824853" w:rsidRDefault="00824853" w:rsidP="00005877">
      <w:pPr>
        <w:pStyle w:val="Paragraphedeliste"/>
        <w:jc w:val="both"/>
        <w:rPr>
          <w:rFonts w:ascii="Garamond" w:hAnsi="Garamond"/>
          <w:sz w:val="28"/>
          <w:szCs w:val="28"/>
          <w:lang w:val="fr-FR"/>
        </w:rPr>
      </w:pPr>
    </w:p>
    <w:p w:rsidR="00824853" w:rsidRPr="00824853" w:rsidRDefault="00824853" w:rsidP="00005877">
      <w:pPr>
        <w:spacing w:after="36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color w:val="3A3A3A"/>
          <w:sz w:val="28"/>
          <w:szCs w:val="28"/>
          <w:lang w:val="fr-FR" w:eastAsia="fr-FR"/>
        </w:rPr>
        <w:t>La kabbale est originellement une tradition juive fondée sur une explication ésotérique de la Torah.</w:t>
      </w:r>
    </w:p>
    <w:p w:rsidR="00824853" w:rsidRPr="00824853" w:rsidRDefault="00824853" w:rsidP="00005877">
      <w:pPr>
        <w:spacing w:after="36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color w:val="3A3A3A"/>
          <w:sz w:val="28"/>
          <w:szCs w:val="28"/>
          <w:lang w:val="fr-FR" w:eastAsia="fr-FR"/>
        </w:rPr>
        <w:t xml:space="preserve">Cette Torah se compose des cinq premiers livres de la Bible (Ancien Testament) écrit en hébreu </w:t>
      </w:r>
      <w:r w:rsidRPr="009217ED">
        <w:rPr>
          <w:rFonts w:ascii="Garamond" w:eastAsia="Times New Roman" w:hAnsi="Garamond" w:cs="Segoe UI"/>
          <w:color w:val="3A3A3A"/>
          <w:sz w:val="28"/>
          <w:szCs w:val="28"/>
          <w:u w:val="single"/>
          <w:lang w:val="fr-FR" w:eastAsia="fr-FR"/>
        </w:rPr>
        <w:t>biblique</w:t>
      </w:r>
      <w:r w:rsidRPr="00824853">
        <w:rPr>
          <w:rFonts w:ascii="Garamond" w:eastAsia="Times New Roman" w:hAnsi="Garamond" w:cs="Segoe UI"/>
          <w:color w:val="3A3A3A"/>
          <w:sz w:val="28"/>
          <w:szCs w:val="28"/>
          <w:lang w:val="fr-FR" w:eastAsia="fr-FR"/>
        </w:rPr>
        <w:t>.</w:t>
      </w:r>
    </w:p>
    <w:p w:rsidR="00824853" w:rsidRPr="00824853" w:rsidRDefault="00824853" w:rsidP="00005877">
      <w:pPr>
        <w:spacing w:after="36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color w:val="3A3A3A"/>
          <w:sz w:val="28"/>
          <w:szCs w:val="28"/>
          <w:lang w:val="fr-FR" w:eastAsia="fr-FR"/>
        </w:rPr>
        <w:t xml:space="preserve">Progressivement, d’autres livres plus spécifiques ont été associés à cette tradition et en constituent ses principales </w:t>
      </w:r>
      <w:r w:rsidR="003F33A1" w:rsidRPr="00824853">
        <w:rPr>
          <w:rFonts w:ascii="Garamond" w:eastAsia="Times New Roman" w:hAnsi="Garamond" w:cs="Segoe UI"/>
          <w:color w:val="3A3A3A"/>
          <w:sz w:val="28"/>
          <w:szCs w:val="28"/>
          <w:lang w:val="fr-FR" w:eastAsia="fr-FR"/>
        </w:rPr>
        <w:t>références :</w:t>
      </w:r>
    </w:p>
    <w:p w:rsidR="00824853" w:rsidRPr="00824853" w:rsidRDefault="00824853" w:rsidP="00005877">
      <w:pPr>
        <w:spacing w:after="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b/>
          <w:bCs/>
          <w:color w:val="3A3A3A"/>
          <w:sz w:val="28"/>
          <w:szCs w:val="28"/>
          <w:bdr w:val="none" w:sz="0" w:space="0" w:color="auto" w:frame="1"/>
          <w:lang w:val="fr-FR" w:eastAsia="fr-FR"/>
        </w:rPr>
        <w:t xml:space="preserve">– Sefer </w:t>
      </w:r>
      <w:proofErr w:type="spellStart"/>
      <w:r w:rsidRPr="00824853">
        <w:rPr>
          <w:rFonts w:ascii="Garamond" w:eastAsia="Times New Roman" w:hAnsi="Garamond" w:cs="Segoe UI"/>
          <w:b/>
          <w:bCs/>
          <w:color w:val="3A3A3A"/>
          <w:sz w:val="28"/>
          <w:szCs w:val="28"/>
          <w:bdr w:val="none" w:sz="0" w:space="0" w:color="auto" w:frame="1"/>
          <w:lang w:val="fr-FR" w:eastAsia="fr-FR"/>
        </w:rPr>
        <w:t>Yetzirah</w:t>
      </w:r>
      <w:proofErr w:type="spellEnd"/>
      <w:r w:rsidRPr="00824853">
        <w:rPr>
          <w:rFonts w:ascii="Garamond" w:eastAsia="Times New Roman" w:hAnsi="Garamond" w:cs="Segoe UI"/>
          <w:b/>
          <w:bCs/>
          <w:color w:val="3A3A3A"/>
          <w:sz w:val="28"/>
          <w:szCs w:val="28"/>
          <w:bdr w:val="none" w:sz="0" w:space="0" w:color="auto" w:frame="1"/>
          <w:lang w:val="fr-FR" w:eastAsia="fr-FR"/>
        </w:rPr>
        <w:t> </w:t>
      </w:r>
      <w:r w:rsidRPr="00824853">
        <w:rPr>
          <w:rFonts w:ascii="Garamond" w:eastAsia="Times New Roman" w:hAnsi="Garamond" w:cs="Segoe UI"/>
          <w:color w:val="3A3A3A"/>
          <w:sz w:val="28"/>
          <w:szCs w:val="28"/>
          <w:lang w:val="fr-FR" w:eastAsia="fr-FR"/>
        </w:rPr>
        <w:t>(Livre de la Création)</w:t>
      </w:r>
    </w:p>
    <w:p w:rsidR="00824853" w:rsidRPr="00824853" w:rsidRDefault="00824853" w:rsidP="00005877">
      <w:pPr>
        <w:spacing w:after="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b/>
          <w:bCs/>
          <w:color w:val="3A3A3A"/>
          <w:sz w:val="28"/>
          <w:szCs w:val="28"/>
          <w:bdr w:val="none" w:sz="0" w:space="0" w:color="auto" w:frame="1"/>
          <w:lang w:val="fr-FR" w:eastAsia="fr-FR"/>
        </w:rPr>
        <w:t xml:space="preserve">– Sefer </w:t>
      </w:r>
      <w:proofErr w:type="spellStart"/>
      <w:r w:rsidRPr="00824853">
        <w:rPr>
          <w:rFonts w:ascii="Garamond" w:eastAsia="Times New Roman" w:hAnsi="Garamond" w:cs="Segoe UI"/>
          <w:b/>
          <w:bCs/>
          <w:color w:val="3A3A3A"/>
          <w:sz w:val="28"/>
          <w:szCs w:val="28"/>
          <w:bdr w:val="none" w:sz="0" w:space="0" w:color="auto" w:frame="1"/>
          <w:lang w:val="fr-FR" w:eastAsia="fr-FR"/>
        </w:rPr>
        <w:t>Raziel</w:t>
      </w:r>
      <w:proofErr w:type="spellEnd"/>
      <w:r w:rsidRPr="00824853">
        <w:rPr>
          <w:rFonts w:ascii="Garamond" w:eastAsia="Times New Roman" w:hAnsi="Garamond" w:cs="Segoe UI"/>
          <w:color w:val="3A3A3A"/>
          <w:sz w:val="28"/>
          <w:szCs w:val="28"/>
          <w:lang w:val="fr-FR" w:eastAsia="fr-FR"/>
        </w:rPr>
        <w:t xml:space="preserve"> (Livre de l’ange </w:t>
      </w:r>
      <w:proofErr w:type="spellStart"/>
      <w:r w:rsidRPr="00824853">
        <w:rPr>
          <w:rFonts w:ascii="Garamond" w:eastAsia="Times New Roman" w:hAnsi="Garamond" w:cs="Segoe UI"/>
          <w:color w:val="3A3A3A"/>
          <w:sz w:val="28"/>
          <w:szCs w:val="28"/>
          <w:lang w:val="fr-FR" w:eastAsia="fr-FR"/>
        </w:rPr>
        <w:t>Raziel</w:t>
      </w:r>
      <w:proofErr w:type="spellEnd"/>
      <w:r w:rsidRPr="00824853">
        <w:rPr>
          <w:rFonts w:ascii="Garamond" w:eastAsia="Times New Roman" w:hAnsi="Garamond" w:cs="Segoe UI"/>
          <w:color w:val="3A3A3A"/>
          <w:sz w:val="28"/>
          <w:szCs w:val="28"/>
          <w:lang w:val="fr-FR" w:eastAsia="fr-FR"/>
        </w:rPr>
        <w:t>)</w:t>
      </w:r>
    </w:p>
    <w:p w:rsidR="00824853" w:rsidRPr="00824853" w:rsidRDefault="00824853" w:rsidP="00005877">
      <w:pPr>
        <w:spacing w:after="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b/>
          <w:bCs/>
          <w:color w:val="3A3A3A"/>
          <w:sz w:val="28"/>
          <w:szCs w:val="28"/>
          <w:bdr w:val="none" w:sz="0" w:space="0" w:color="auto" w:frame="1"/>
          <w:lang w:val="fr-FR" w:eastAsia="fr-FR"/>
        </w:rPr>
        <w:t xml:space="preserve">– Sefer </w:t>
      </w:r>
      <w:proofErr w:type="spellStart"/>
      <w:r w:rsidRPr="00824853">
        <w:rPr>
          <w:rFonts w:ascii="Garamond" w:eastAsia="Times New Roman" w:hAnsi="Garamond" w:cs="Segoe UI"/>
          <w:b/>
          <w:bCs/>
          <w:color w:val="3A3A3A"/>
          <w:sz w:val="28"/>
          <w:szCs w:val="28"/>
          <w:bdr w:val="none" w:sz="0" w:space="0" w:color="auto" w:frame="1"/>
          <w:lang w:val="fr-FR" w:eastAsia="fr-FR"/>
        </w:rPr>
        <w:t>Bahir</w:t>
      </w:r>
      <w:proofErr w:type="spellEnd"/>
      <w:r w:rsidRPr="00824853">
        <w:rPr>
          <w:rFonts w:ascii="Garamond" w:eastAsia="Times New Roman" w:hAnsi="Garamond" w:cs="Segoe UI"/>
          <w:color w:val="3A3A3A"/>
          <w:sz w:val="28"/>
          <w:szCs w:val="28"/>
          <w:lang w:val="fr-FR" w:eastAsia="fr-FR"/>
        </w:rPr>
        <w:t> (Livre de l’illumination)</w:t>
      </w:r>
    </w:p>
    <w:p w:rsidR="00824853" w:rsidRPr="00824853" w:rsidRDefault="00824853" w:rsidP="00005877">
      <w:pPr>
        <w:spacing w:after="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b/>
          <w:bCs/>
          <w:color w:val="3A3A3A"/>
          <w:sz w:val="28"/>
          <w:szCs w:val="28"/>
          <w:bdr w:val="none" w:sz="0" w:space="0" w:color="auto" w:frame="1"/>
          <w:lang w:val="fr-FR" w:eastAsia="fr-FR"/>
        </w:rPr>
        <w:t>– Zohar</w:t>
      </w:r>
      <w:r w:rsidRPr="00824853">
        <w:rPr>
          <w:rFonts w:ascii="Garamond" w:eastAsia="Times New Roman" w:hAnsi="Garamond" w:cs="Segoe UI"/>
          <w:color w:val="3A3A3A"/>
          <w:sz w:val="28"/>
          <w:szCs w:val="28"/>
          <w:lang w:val="fr-FR" w:eastAsia="fr-FR"/>
        </w:rPr>
        <w:t> (Livre de la lumière brillante)</w:t>
      </w:r>
    </w:p>
    <w:p w:rsidR="00824853" w:rsidRDefault="00824853" w:rsidP="00005877">
      <w:pPr>
        <w:pStyle w:val="Paragraphedeliste"/>
        <w:jc w:val="both"/>
        <w:rPr>
          <w:rFonts w:ascii="Garamond" w:hAnsi="Garamond"/>
          <w:sz w:val="28"/>
          <w:szCs w:val="28"/>
          <w:lang w:val="fr-FR"/>
        </w:rPr>
      </w:pPr>
    </w:p>
    <w:p w:rsidR="00824853" w:rsidRPr="00824853" w:rsidRDefault="00824853" w:rsidP="00005877">
      <w:pPr>
        <w:spacing w:after="36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color w:val="3A3A3A"/>
          <w:sz w:val="28"/>
          <w:szCs w:val="28"/>
          <w:lang w:val="fr-FR" w:eastAsia="fr-FR"/>
        </w:rPr>
        <w:t xml:space="preserve">Plusieurs expériences mystiques sont indiquées dans le Talmud, par exemple celle du Rabbin Simon Bar </w:t>
      </w:r>
      <w:proofErr w:type="spellStart"/>
      <w:r w:rsidRPr="00824853">
        <w:rPr>
          <w:rFonts w:ascii="Garamond" w:eastAsia="Times New Roman" w:hAnsi="Garamond" w:cs="Segoe UI"/>
          <w:color w:val="3A3A3A"/>
          <w:sz w:val="28"/>
          <w:szCs w:val="28"/>
          <w:lang w:val="fr-FR" w:eastAsia="fr-FR"/>
        </w:rPr>
        <w:t>Yochai</w:t>
      </w:r>
      <w:proofErr w:type="spellEnd"/>
      <w:r w:rsidRPr="00824853">
        <w:rPr>
          <w:rFonts w:ascii="Garamond" w:eastAsia="Times New Roman" w:hAnsi="Garamond" w:cs="Segoe UI"/>
          <w:color w:val="3A3A3A"/>
          <w:sz w:val="28"/>
          <w:szCs w:val="28"/>
          <w:lang w:val="fr-FR" w:eastAsia="fr-FR"/>
        </w:rPr>
        <w:t>, mais il n’est pas fait mention de livre qu’il ait écrit.</w:t>
      </w:r>
    </w:p>
    <w:p w:rsidR="00824853" w:rsidRDefault="00824853" w:rsidP="00005877">
      <w:pPr>
        <w:spacing w:after="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color w:val="3A3A3A"/>
          <w:sz w:val="28"/>
          <w:szCs w:val="28"/>
          <w:lang w:val="fr-FR" w:eastAsia="fr-FR"/>
        </w:rPr>
        <w:lastRenderedPageBreak/>
        <w:t>C’est à ce moment qu’entre dans l’histoire le </w:t>
      </w:r>
      <w:r w:rsidRPr="00824853">
        <w:rPr>
          <w:rFonts w:ascii="Garamond" w:eastAsia="Times New Roman" w:hAnsi="Garamond" w:cs="Segoe UI"/>
          <w:i/>
          <w:iCs/>
          <w:color w:val="3A3A3A"/>
          <w:sz w:val="28"/>
          <w:szCs w:val="28"/>
          <w:bdr w:val="none" w:sz="0" w:space="0" w:color="auto" w:frame="1"/>
          <w:lang w:val="fr-FR" w:eastAsia="fr-FR"/>
        </w:rPr>
        <w:t xml:space="preserve">Sefer </w:t>
      </w:r>
      <w:proofErr w:type="spellStart"/>
      <w:r w:rsidRPr="00824853">
        <w:rPr>
          <w:rFonts w:ascii="Garamond" w:eastAsia="Times New Roman" w:hAnsi="Garamond" w:cs="Segoe UI"/>
          <w:i/>
          <w:iCs/>
          <w:color w:val="3A3A3A"/>
          <w:sz w:val="28"/>
          <w:szCs w:val="28"/>
          <w:bdr w:val="none" w:sz="0" w:space="0" w:color="auto" w:frame="1"/>
          <w:lang w:val="fr-FR" w:eastAsia="fr-FR"/>
        </w:rPr>
        <w:t>Yetzirah</w:t>
      </w:r>
      <w:proofErr w:type="spellEnd"/>
      <w:r w:rsidRPr="00824853">
        <w:rPr>
          <w:rFonts w:ascii="Garamond" w:eastAsia="Times New Roman" w:hAnsi="Garamond" w:cs="Segoe UI"/>
          <w:color w:val="3A3A3A"/>
          <w:sz w:val="28"/>
          <w:szCs w:val="28"/>
          <w:lang w:val="fr-FR" w:eastAsia="fr-FR"/>
        </w:rPr>
        <w:t>, premier livre explicitement kabbalistique. Il apparaît entre le troisième et le quatrième siècle. Tous les spécialistes ne sont pas d’accord sur le fait que celui que nous possédons aujourd’hui est bien celui qui est mentionné dans le Talmud, mais rien ne semble pouvoir l’infirmer.</w:t>
      </w:r>
    </w:p>
    <w:p w:rsidR="00B534BC" w:rsidRPr="00824853" w:rsidRDefault="00B534BC" w:rsidP="00005877">
      <w:pPr>
        <w:spacing w:after="0" w:line="240" w:lineRule="auto"/>
        <w:jc w:val="both"/>
        <w:rPr>
          <w:rFonts w:ascii="Garamond" w:eastAsia="Times New Roman" w:hAnsi="Garamond" w:cs="Segoe UI"/>
          <w:color w:val="3A3A3A"/>
          <w:sz w:val="28"/>
          <w:szCs w:val="28"/>
          <w:lang w:val="fr-FR" w:eastAsia="fr-FR"/>
        </w:rPr>
      </w:pPr>
    </w:p>
    <w:p w:rsidR="00824853" w:rsidRPr="005162AF" w:rsidRDefault="00824853" w:rsidP="00005877">
      <w:pPr>
        <w:spacing w:after="36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color w:val="3A3A3A"/>
          <w:sz w:val="28"/>
          <w:szCs w:val="28"/>
          <w:lang w:val="fr-FR" w:eastAsia="fr-FR"/>
        </w:rPr>
        <w:t xml:space="preserve">Cet ouvrage nous montre pour la première fois une façon différente de voir Dieu et ses relations avec les hommes et le monde. L’alphabet hébreu est ici évoqué comme auxiliaire de la création (ce que nous voyons également dans le Zohar). Les correspondances entre les parties du corps, les astres, les mois de l’année, les métaux, etc. sont de première importance. Cette tradition développa des pratiques et des rites </w:t>
      </w:r>
      <w:proofErr w:type="gramStart"/>
      <w:r w:rsidRPr="00824853">
        <w:rPr>
          <w:rFonts w:ascii="Garamond" w:eastAsia="Times New Roman" w:hAnsi="Garamond" w:cs="Segoe UI"/>
          <w:color w:val="3A3A3A"/>
          <w:sz w:val="28"/>
          <w:szCs w:val="28"/>
          <w:lang w:val="fr-FR" w:eastAsia="fr-FR"/>
        </w:rPr>
        <w:t>fort</w:t>
      </w:r>
      <w:proofErr w:type="gramEnd"/>
      <w:r w:rsidRPr="00824853">
        <w:rPr>
          <w:rFonts w:ascii="Garamond" w:eastAsia="Times New Roman" w:hAnsi="Garamond" w:cs="Segoe UI"/>
          <w:color w:val="3A3A3A"/>
          <w:sz w:val="28"/>
          <w:szCs w:val="28"/>
          <w:lang w:val="fr-FR" w:eastAsia="fr-FR"/>
        </w:rPr>
        <w:t xml:space="preserve"> intéressants. Dépassant le courant hébraïque, des rites initiatiques issus de cette étape se retrouve</w:t>
      </w:r>
      <w:r w:rsidR="001A038D">
        <w:rPr>
          <w:rFonts w:ascii="Garamond" w:eastAsia="Times New Roman" w:hAnsi="Garamond" w:cs="Segoe UI"/>
          <w:color w:val="3A3A3A"/>
          <w:sz w:val="28"/>
          <w:szCs w:val="28"/>
          <w:lang w:val="fr-FR" w:eastAsia="fr-FR"/>
        </w:rPr>
        <w:t>nt</w:t>
      </w:r>
      <w:r w:rsidRPr="00824853">
        <w:rPr>
          <w:rFonts w:ascii="Garamond" w:eastAsia="Times New Roman" w:hAnsi="Garamond" w:cs="Segoe UI"/>
          <w:color w:val="3A3A3A"/>
          <w:sz w:val="28"/>
          <w:szCs w:val="28"/>
          <w:lang w:val="fr-FR" w:eastAsia="fr-FR"/>
        </w:rPr>
        <w:t xml:space="preserve"> par exemple dans </w:t>
      </w:r>
      <w:r w:rsidR="00011450">
        <w:rPr>
          <w:rFonts w:ascii="Garamond" w:eastAsia="Times New Roman" w:hAnsi="Garamond" w:cs="Segoe UI"/>
          <w:color w:val="3A3A3A"/>
          <w:sz w:val="28"/>
          <w:szCs w:val="28"/>
          <w:lang w:val="fr-FR" w:eastAsia="fr-FR"/>
        </w:rPr>
        <w:t>plusieurs ordres kabbalistiques</w:t>
      </w:r>
      <w:r w:rsidRPr="00824853">
        <w:rPr>
          <w:rFonts w:ascii="Garamond" w:eastAsia="Times New Roman" w:hAnsi="Garamond" w:cs="Segoe UI"/>
          <w:color w:val="3A3A3A"/>
          <w:sz w:val="28"/>
          <w:szCs w:val="28"/>
          <w:lang w:val="fr-FR" w:eastAsia="fr-FR"/>
        </w:rPr>
        <w:t xml:space="preserve">, après avoir été transmis par les kabbalistes chrétiens et les courants hermétistes de la Rose-Croix. Comme nous le verrons plus loin, ces connaissances sont elles-mêmes les héritières de l’ancienne tradition hellénistique, pythagoricienne et néoplatonicienne. </w:t>
      </w:r>
      <w:r w:rsidRPr="005162AF">
        <w:rPr>
          <w:rFonts w:ascii="Garamond" w:eastAsia="Times New Roman" w:hAnsi="Garamond" w:cs="Segoe UI"/>
          <w:color w:val="3A3A3A"/>
          <w:sz w:val="28"/>
          <w:szCs w:val="28"/>
          <w:lang w:val="fr-FR" w:eastAsia="fr-FR"/>
        </w:rPr>
        <w:t>C’est ce qu’expliqueront abondamment et brillamment les kabbalistes chrétiens.</w:t>
      </w:r>
    </w:p>
    <w:p w:rsidR="00824853" w:rsidRDefault="00824853" w:rsidP="00005877">
      <w:pPr>
        <w:spacing w:after="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color w:val="3A3A3A"/>
          <w:sz w:val="28"/>
          <w:szCs w:val="28"/>
          <w:lang w:val="fr-FR" w:eastAsia="fr-FR"/>
        </w:rPr>
        <w:t>Les écrits les plus significatifs furent le </w:t>
      </w:r>
      <w:r w:rsidRPr="00824853">
        <w:rPr>
          <w:rFonts w:ascii="Garamond" w:eastAsia="Times New Roman" w:hAnsi="Garamond" w:cs="Segoe UI"/>
          <w:i/>
          <w:iCs/>
          <w:color w:val="3A3A3A"/>
          <w:sz w:val="28"/>
          <w:szCs w:val="28"/>
          <w:bdr w:val="none" w:sz="0" w:space="0" w:color="auto" w:frame="1"/>
          <w:lang w:val="fr-FR" w:eastAsia="fr-FR"/>
        </w:rPr>
        <w:t xml:space="preserve">Sefer </w:t>
      </w:r>
      <w:proofErr w:type="spellStart"/>
      <w:r w:rsidRPr="00824853">
        <w:rPr>
          <w:rFonts w:ascii="Garamond" w:eastAsia="Times New Roman" w:hAnsi="Garamond" w:cs="Segoe UI"/>
          <w:i/>
          <w:iCs/>
          <w:color w:val="3A3A3A"/>
          <w:sz w:val="28"/>
          <w:szCs w:val="28"/>
          <w:bdr w:val="none" w:sz="0" w:space="0" w:color="auto" w:frame="1"/>
          <w:lang w:val="fr-FR" w:eastAsia="fr-FR"/>
        </w:rPr>
        <w:t>Raziel</w:t>
      </w:r>
      <w:proofErr w:type="spellEnd"/>
      <w:r w:rsidRPr="00824853">
        <w:rPr>
          <w:rFonts w:ascii="Garamond" w:eastAsia="Times New Roman" w:hAnsi="Garamond" w:cs="Segoe UI"/>
          <w:color w:val="3A3A3A"/>
          <w:sz w:val="28"/>
          <w:szCs w:val="28"/>
          <w:lang w:val="fr-FR" w:eastAsia="fr-FR"/>
        </w:rPr>
        <w:t xml:space="preserve"> ou « le livre de l’ange </w:t>
      </w:r>
      <w:proofErr w:type="spellStart"/>
      <w:r w:rsidRPr="00824853">
        <w:rPr>
          <w:rFonts w:ascii="Garamond" w:eastAsia="Times New Roman" w:hAnsi="Garamond" w:cs="Segoe UI"/>
          <w:color w:val="3A3A3A"/>
          <w:sz w:val="28"/>
          <w:szCs w:val="28"/>
          <w:lang w:val="fr-FR" w:eastAsia="fr-FR"/>
        </w:rPr>
        <w:t>Raziel</w:t>
      </w:r>
      <w:proofErr w:type="spellEnd"/>
      <w:r w:rsidRPr="00824853">
        <w:rPr>
          <w:rFonts w:ascii="Garamond" w:eastAsia="Times New Roman" w:hAnsi="Garamond" w:cs="Segoe UI"/>
          <w:color w:val="3A3A3A"/>
          <w:sz w:val="28"/>
          <w:szCs w:val="28"/>
          <w:lang w:val="fr-FR" w:eastAsia="fr-FR"/>
        </w:rPr>
        <w:t> », le </w:t>
      </w:r>
      <w:r w:rsidRPr="00824853">
        <w:rPr>
          <w:rFonts w:ascii="Garamond" w:eastAsia="Times New Roman" w:hAnsi="Garamond" w:cs="Segoe UI"/>
          <w:i/>
          <w:iCs/>
          <w:color w:val="3A3A3A"/>
          <w:sz w:val="28"/>
          <w:szCs w:val="28"/>
          <w:bdr w:val="none" w:sz="0" w:space="0" w:color="auto" w:frame="1"/>
          <w:lang w:val="fr-FR" w:eastAsia="fr-FR"/>
        </w:rPr>
        <w:t xml:space="preserve">Sefer </w:t>
      </w:r>
      <w:proofErr w:type="spellStart"/>
      <w:r w:rsidRPr="00824853">
        <w:rPr>
          <w:rFonts w:ascii="Garamond" w:eastAsia="Times New Roman" w:hAnsi="Garamond" w:cs="Segoe UI"/>
          <w:i/>
          <w:iCs/>
          <w:color w:val="3A3A3A"/>
          <w:sz w:val="28"/>
          <w:szCs w:val="28"/>
          <w:bdr w:val="none" w:sz="0" w:space="0" w:color="auto" w:frame="1"/>
          <w:lang w:val="fr-FR" w:eastAsia="fr-FR"/>
        </w:rPr>
        <w:t>Bahir</w:t>
      </w:r>
      <w:proofErr w:type="spellEnd"/>
      <w:r w:rsidRPr="00824853">
        <w:rPr>
          <w:rFonts w:ascii="Garamond" w:eastAsia="Times New Roman" w:hAnsi="Garamond" w:cs="Segoe UI"/>
          <w:color w:val="3A3A3A"/>
          <w:sz w:val="28"/>
          <w:szCs w:val="28"/>
          <w:lang w:val="fr-FR" w:eastAsia="fr-FR"/>
        </w:rPr>
        <w:t> ou « le livre de l’illumination »), et le </w:t>
      </w:r>
      <w:r w:rsidRPr="00824853">
        <w:rPr>
          <w:rFonts w:ascii="Garamond" w:eastAsia="Times New Roman" w:hAnsi="Garamond" w:cs="Segoe UI"/>
          <w:i/>
          <w:iCs/>
          <w:color w:val="3A3A3A"/>
          <w:sz w:val="28"/>
          <w:szCs w:val="28"/>
          <w:bdr w:val="none" w:sz="0" w:space="0" w:color="auto" w:frame="1"/>
          <w:lang w:val="fr-FR" w:eastAsia="fr-FR"/>
        </w:rPr>
        <w:t>Zohar</w:t>
      </w:r>
      <w:r w:rsidRPr="00824853">
        <w:rPr>
          <w:rFonts w:ascii="Garamond" w:eastAsia="Times New Roman" w:hAnsi="Garamond" w:cs="Segoe UI"/>
          <w:color w:val="3A3A3A"/>
          <w:sz w:val="28"/>
          <w:szCs w:val="28"/>
          <w:lang w:val="fr-FR" w:eastAsia="fr-FR"/>
        </w:rPr>
        <w:t xml:space="preserve"> ou « livre de l’éclatante lumière ». Ils furent d’une certaine façon les piliers de cette tradition occulte. Selon certaines sources, le Zohar fut découvert par </w:t>
      </w:r>
      <w:r w:rsidRPr="00824853">
        <w:rPr>
          <w:rFonts w:ascii="Garamond" w:eastAsia="Times New Roman" w:hAnsi="Garamond" w:cs="Segoe UI"/>
          <w:color w:val="3A3A3A"/>
          <w:sz w:val="28"/>
          <w:szCs w:val="28"/>
          <w:lang w:val="fr-FR" w:eastAsia="fr-FR"/>
        </w:rPr>
        <w:lastRenderedPageBreak/>
        <w:t xml:space="preserve">Moïse De Leon, qui vivait vers 1290 en Espagne. Mais il est attribué à Rabbi Shimon Bar </w:t>
      </w:r>
      <w:proofErr w:type="spellStart"/>
      <w:r w:rsidRPr="00824853">
        <w:rPr>
          <w:rFonts w:ascii="Garamond" w:eastAsia="Times New Roman" w:hAnsi="Garamond" w:cs="Segoe UI"/>
          <w:color w:val="3A3A3A"/>
          <w:sz w:val="28"/>
          <w:szCs w:val="28"/>
          <w:lang w:val="fr-FR" w:eastAsia="fr-FR"/>
        </w:rPr>
        <w:t>Yochaï</w:t>
      </w:r>
      <w:proofErr w:type="spellEnd"/>
      <w:r w:rsidRPr="00824853">
        <w:rPr>
          <w:rFonts w:ascii="Garamond" w:eastAsia="Times New Roman" w:hAnsi="Garamond" w:cs="Segoe UI"/>
          <w:color w:val="3A3A3A"/>
          <w:sz w:val="28"/>
          <w:szCs w:val="28"/>
          <w:lang w:val="fr-FR" w:eastAsia="fr-FR"/>
        </w:rPr>
        <w:t xml:space="preserve">, le </w:t>
      </w:r>
      <w:proofErr w:type="spellStart"/>
      <w:r w:rsidRPr="00824853">
        <w:rPr>
          <w:rFonts w:ascii="Garamond" w:eastAsia="Times New Roman" w:hAnsi="Garamond" w:cs="Segoe UI"/>
          <w:color w:val="3A3A3A"/>
          <w:sz w:val="28"/>
          <w:szCs w:val="28"/>
          <w:lang w:val="fr-FR" w:eastAsia="fr-FR"/>
        </w:rPr>
        <w:t>Rashbi</w:t>
      </w:r>
      <w:proofErr w:type="spellEnd"/>
      <w:r w:rsidRPr="00824853">
        <w:rPr>
          <w:rFonts w:ascii="Garamond" w:eastAsia="Times New Roman" w:hAnsi="Garamond" w:cs="Segoe UI"/>
          <w:color w:val="3A3A3A"/>
          <w:sz w:val="28"/>
          <w:szCs w:val="28"/>
          <w:lang w:val="fr-FR" w:eastAsia="fr-FR"/>
        </w:rPr>
        <w:t xml:space="preserve">, élève de Rabbi </w:t>
      </w:r>
      <w:proofErr w:type="spellStart"/>
      <w:r w:rsidRPr="00824853">
        <w:rPr>
          <w:rFonts w:ascii="Garamond" w:eastAsia="Times New Roman" w:hAnsi="Garamond" w:cs="Segoe UI"/>
          <w:color w:val="3A3A3A"/>
          <w:sz w:val="28"/>
          <w:szCs w:val="28"/>
          <w:lang w:val="fr-FR" w:eastAsia="fr-FR"/>
        </w:rPr>
        <w:t>Akiva</w:t>
      </w:r>
      <w:proofErr w:type="spellEnd"/>
      <w:r w:rsidRPr="00824853">
        <w:rPr>
          <w:rFonts w:ascii="Garamond" w:eastAsia="Times New Roman" w:hAnsi="Garamond" w:cs="Segoe UI"/>
          <w:color w:val="3A3A3A"/>
          <w:sz w:val="28"/>
          <w:szCs w:val="28"/>
          <w:lang w:val="fr-FR" w:eastAsia="fr-FR"/>
        </w:rPr>
        <w:t xml:space="preserve"> qui aurait écrit cet ensemble de textes dès le troisième siècle. C’est après la capture et l’emprisonnement de Rabbi </w:t>
      </w:r>
      <w:proofErr w:type="spellStart"/>
      <w:r w:rsidRPr="00824853">
        <w:rPr>
          <w:rFonts w:ascii="Garamond" w:eastAsia="Times New Roman" w:hAnsi="Garamond" w:cs="Segoe UI"/>
          <w:color w:val="3A3A3A"/>
          <w:sz w:val="28"/>
          <w:szCs w:val="28"/>
          <w:lang w:val="fr-FR" w:eastAsia="fr-FR"/>
        </w:rPr>
        <w:t>Akiva</w:t>
      </w:r>
      <w:proofErr w:type="spellEnd"/>
      <w:r w:rsidRPr="00824853">
        <w:rPr>
          <w:rFonts w:ascii="Garamond" w:eastAsia="Times New Roman" w:hAnsi="Garamond" w:cs="Segoe UI"/>
          <w:color w:val="3A3A3A"/>
          <w:sz w:val="28"/>
          <w:szCs w:val="28"/>
          <w:lang w:val="fr-FR" w:eastAsia="fr-FR"/>
        </w:rPr>
        <w:t xml:space="preserve"> que Rabbi Shimon Bar </w:t>
      </w:r>
      <w:proofErr w:type="spellStart"/>
      <w:r w:rsidRPr="00824853">
        <w:rPr>
          <w:rFonts w:ascii="Garamond" w:eastAsia="Times New Roman" w:hAnsi="Garamond" w:cs="Segoe UI"/>
          <w:color w:val="3A3A3A"/>
          <w:sz w:val="28"/>
          <w:szCs w:val="28"/>
          <w:lang w:val="fr-FR" w:eastAsia="fr-FR"/>
        </w:rPr>
        <w:t>Yochaï</w:t>
      </w:r>
      <w:proofErr w:type="spellEnd"/>
      <w:r w:rsidRPr="00824853">
        <w:rPr>
          <w:rFonts w:ascii="Garamond" w:eastAsia="Times New Roman" w:hAnsi="Garamond" w:cs="Segoe UI"/>
          <w:color w:val="3A3A3A"/>
          <w:sz w:val="28"/>
          <w:szCs w:val="28"/>
          <w:lang w:val="fr-FR" w:eastAsia="fr-FR"/>
        </w:rPr>
        <w:t xml:space="preserve"> vécut dans une grotte avec son fils pendant treize ans. Il sortit de cette </w:t>
      </w:r>
      <w:r w:rsidRPr="00F81323">
        <w:rPr>
          <w:rFonts w:ascii="Garamond" w:eastAsia="Times New Roman" w:hAnsi="Garamond" w:cs="Segoe UI"/>
          <w:color w:val="3A3A3A"/>
          <w:sz w:val="28"/>
          <w:szCs w:val="28"/>
          <w:lang w:val="fr-FR" w:eastAsia="fr-FR"/>
        </w:rPr>
        <w:t>retraite</w:t>
      </w:r>
      <w:r w:rsidRPr="00824853">
        <w:rPr>
          <w:rFonts w:ascii="Garamond" w:eastAsia="Times New Roman" w:hAnsi="Garamond" w:cs="Segoe UI"/>
          <w:color w:val="3A3A3A"/>
          <w:sz w:val="28"/>
          <w:szCs w:val="28"/>
          <w:lang w:val="fr-FR" w:eastAsia="fr-FR"/>
        </w:rPr>
        <w:t xml:space="preserve"> ayant écrit ce </w:t>
      </w:r>
      <w:r w:rsidRPr="00824853">
        <w:rPr>
          <w:rFonts w:ascii="Garamond" w:eastAsia="Times New Roman" w:hAnsi="Garamond" w:cs="Segoe UI"/>
          <w:i/>
          <w:iCs/>
          <w:color w:val="3A3A3A"/>
          <w:sz w:val="28"/>
          <w:szCs w:val="28"/>
          <w:bdr w:val="none" w:sz="0" w:space="0" w:color="auto" w:frame="1"/>
          <w:lang w:val="fr-FR" w:eastAsia="fr-FR"/>
        </w:rPr>
        <w:t>Livre de la splendeur</w:t>
      </w:r>
      <w:r w:rsidRPr="00824853">
        <w:rPr>
          <w:rFonts w:ascii="Garamond" w:eastAsia="Times New Roman" w:hAnsi="Garamond" w:cs="Segoe UI"/>
          <w:color w:val="3A3A3A"/>
          <w:sz w:val="28"/>
          <w:szCs w:val="28"/>
          <w:lang w:val="fr-FR" w:eastAsia="fr-FR"/>
        </w:rPr>
        <w:t xml:space="preserve"> qui fut perdu durant dix siècles. Moïse de Leon le redécouvrit et le publia. Ce texte du Zohar est un ensemble de plusieurs volumes de commentaires sur le Torah (ensembles des cinq premiers textes de la Bible). Son style tranche grandement avec les commentaires habituellement très rationalistes. A partir de là, il devint le texte de référence </w:t>
      </w:r>
      <w:r w:rsidR="00F81323">
        <w:rPr>
          <w:rFonts w:ascii="Garamond" w:eastAsia="Times New Roman" w:hAnsi="Garamond" w:cs="Segoe UI"/>
          <w:color w:val="3A3A3A"/>
          <w:sz w:val="28"/>
          <w:szCs w:val="28"/>
          <w:lang w:val="fr-FR" w:eastAsia="fr-FR"/>
        </w:rPr>
        <w:t xml:space="preserve">qui </w:t>
      </w:r>
      <w:r w:rsidRPr="00824853">
        <w:rPr>
          <w:rFonts w:ascii="Garamond" w:eastAsia="Times New Roman" w:hAnsi="Garamond" w:cs="Segoe UI"/>
          <w:color w:val="3A3A3A"/>
          <w:sz w:val="28"/>
          <w:szCs w:val="28"/>
          <w:lang w:val="fr-FR" w:eastAsia="fr-FR"/>
        </w:rPr>
        <w:t>développa la sagesse de la kabbale.</w:t>
      </w:r>
    </w:p>
    <w:p w:rsidR="009E238D" w:rsidRPr="00824853" w:rsidRDefault="009E238D" w:rsidP="00005877">
      <w:pPr>
        <w:spacing w:after="0" w:line="240" w:lineRule="auto"/>
        <w:jc w:val="both"/>
        <w:rPr>
          <w:rFonts w:ascii="Garamond" w:eastAsia="Times New Roman" w:hAnsi="Garamond" w:cs="Segoe UI"/>
          <w:color w:val="3A3A3A"/>
          <w:sz w:val="28"/>
          <w:szCs w:val="28"/>
          <w:lang w:val="fr-FR" w:eastAsia="fr-FR"/>
        </w:rPr>
      </w:pPr>
    </w:p>
    <w:p w:rsidR="00824853" w:rsidRPr="005162AF" w:rsidRDefault="00824853" w:rsidP="00005877">
      <w:pPr>
        <w:spacing w:after="36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color w:val="3A3A3A"/>
          <w:sz w:val="28"/>
          <w:szCs w:val="28"/>
          <w:lang w:val="fr-FR" w:eastAsia="fr-FR"/>
        </w:rPr>
        <w:t>À la fin du treizième siècle les juifs connurent une période instable et dangereuse en Espagne. Cela n’empêcha pas de grands mystiques tel qu’</w:t>
      </w:r>
      <w:proofErr w:type="spellStart"/>
      <w:r w:rsidRPr="00824853">
        <w:rPr>
          <w:rFonts w:ascii="Garamond" w:eastAsia="Times New Roman" w:hAnsi="Garamond" w:cs="Segoe UI"/>
          <w:color w:val="3A3A3A"/>
          <w:sz w:val="28"/>
          <w:szCs w:val="28"/>
          <w:lang w:val="fr-FR" w:eastAsia="fr-FR"/>
        </w:rPr>
        <w:t>Abulafia</w:t>
      </w:r>
      <w:proofErr w:type="spellEnd"/>
      <w:r w:rsidRPr="00824853">
        <w:rPr>
          <w:rFonts w:ascii="Garamond" w:eastAsia="Times New Roman" w:hAnsi="Garamond" w:cs="Segoe UI"/>
          <w:color w:val="3A3A3A"/>
          <w:sz w:val="28"/>
          <w:szCs w:val="28"/>
          <w:lang w:val="fr-FR" w:eastAsia="fr-FR"/>
        </w:rPr>
        <w:t xml:space="preserve"> de prêcher la tolérance et l’ouverture d’esprit, écrivant des ouvrages d’une grande profondeur. Puis les juifs furent expulsés d’Espagne et un certain nombre se réfugièrent à Safed en Galilée. </w:t>
      </w:r>
      <w:r w:rsidRPr="005162AF">
        <w:rPr>
          <w:rFonts w:ascii="Garamond" w:eastAsia="Times New Roman" w:hAnsi="Garamond" w:cs="Segoe UI"/>
          <w:color w:val="3A3A3A"/>
          <w:sz w:val="28"/>
          <w:szCs w:val="28"/>
          <w:lang w:val="fr-FR" w:eastAsia="fr-FR"/>
        </w:rPr>
        <w:t xml:space="preserve">C’est </w:t>
      </w:r>
      <w:r w:rsidR="00F81323">
        <w:rPr>
          <w:rFonts w:ascii="Garamond" w:eastAsia="Times New Roman" w:hAnsi="Garamond" w:cs="Segoe UI"/>
          <w:color w:val="3A3A3A"/>
          <w:sz w:val="28"/>
          <w:szCs w:val="28"/>
          <w:lang w:val="fr-FR" w:eastAsia="fr-FR"/>
        </w:rPr>
        <w:t>dans ce lieu</w:t>
      </w:r>
      <w:r w:rsidRPr="005162AF">
        <w:rPr>
          <w:rFonts w:ascii="Garamond" w:eastAsia="Times New Roman" w:hAnsi="Garamond" w:cs="Segoe UI"/>
          <w:color w:val="3A3A3A"/>
          <w:sz w:val="28"/>
          <w:szCs w:val="28"/>
          <w:lang w:val="fr-FR" w:eastAsia="fr-FR"/>
        </w:rPr>
        <w:t xml:space="preserve"> qu’apparut une nouvelle école de</w:t>
      </w:r>
      <w:r w:rsidR="00F81323">
        <w:rPr>
          <w:rFonts w:ascii="Garamond" w:eastAsia="Times New Roman" w:hAnsi="Garamond" w:cs="Segoe UI"/>
          <w:color w:val="3A3A3A"/>
          <w:sz w:val="28"/>
          <w:szCs w:val="28"/>
          <w:lang w:val="fr-FR" w:eastAsia="fr-FR"/>
        </w:rPr>
        <w:t xml:space="preserve"> la</w:t>
      </w:r>
      <w:r w:rsidRPr="005162AF">
        <w:rPr>
          <w:rFonts w:ascii="Garamond" w:eastAsia="Times New Roman" w:hAnsi="Garamond" w:cs="Segoe UI"/>
          <w:color w:val="3A3A3A"/>
          <w:sz w:val="28"/>
          <w:szCs w:val="28"/>
          <w:lang w:val="fr-FR" w:eastAsia="fr-FR"/>
        </w:rPr>
        <w:t xml:space="preserve"> kabbal</w:t>
      </w:r>
      <w:r w:rsidR="00F81323">
        <w:rPr>
          <w:rFonts w:ascii="Garamond" w:eastAsia="Times New Roman" w:hAnsi="Garamond" w:cs="Segoe UI"/>
          <w:color w:val="3A3A3A"/>
          <w:sz w:val="28"/>
          <w:szCs w:val="28"/>
          <w:lang w:val="fr-FR" w:eastAsia="fr-FR"/>
        </w:rPr>
        <w:t>e</w:t>
      </w:r>
      <w:r w:rsidRPr="005162AF">
        <w:rPr>
          <w:rFonts w:ascii="Garamond" w:eastAsia="Times New Roman" w:hAnsi="Garamond" w:cs="Segoe UI"/>
          <w:color w:val="3A3A3A"/>
          <w:sz w:val="28"/>
          <w:szCs w:val="28"/>
          <w:lang w:val="fr-FR" w:eastAsia="fr-FR"/>
        </w:rPr>
        <w:t>.</w:t>
      </w:r>
    </w:p>
    <w:p w:rsidR="00824853" w:rsidRPr="00E454C4" w:rsidRDefault="00824853" w:rsidP="00005877">
      <w:pPr>
        <w:spacing w:after="36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color w:val="3A3A3A"/>
          <w:sz w:val="28"/>
          <w:szCs w:val="28"/>
          <w:lang w:val="fr-FR" w:eastAsia="fr-FR"/>
        </w:rPr>
        <w:t xml:space="preserve">Durant cette époque, la kabbale se développa en un lieu où les chrétiens et les juifs vivaient encore en bonne intelligence, la Provence. Cette extraordinaire civilisation n’avait pas encore connu les croisades qui allaient définitivement la détruire. Les cours étaient alors donnés librement dans les diverses universités du Languedoc, sans tenir compte des </w:t>
      </w:r>
      <w:r w:rsidRPr="00824853">
        <w:rPr>
          <w:rFonts w:ascii="Garamond" w:eastAsia="Times New Roman" w:hAnsi="Garamond" w:cs="Segoe UI"/>
          <w:color w:val="3A3A3A"/>
          <w:sz w:val="28"/>
          <w:szCs w:val="28"/>
          <w:lang w:val="fr-FR" w:eastAsia="fr-FR"/>
        </w:rPr>
        <w:lastRenderedPageBreak/>
        <w:t xml:space="preserve">confessions des enseignants. Des </w:t>
      </w:r>
      <w:r w:rsidR="00F81323" w:rsidRPr="00824853">
        <w:rPr>
          <w:rFonts w:ascii="Garamond" w:eastAsia="Times New Roman" w:hAnsi="Garamond" w:cs="Segoe UI"/>
          <w:color w:val="3A3A3A"/>
          <w:sz w:val="28"/>
          <w:szCs w:val="28"/>
          <w:lang w:val="fr-FR" w:eastAsia="fr-FR"/>
        </w:rPr>
        <w:t>œuvres</w:t>
      </w:r>
      <w:r w:rsidRPr="00824853">
        <w:rPr>
          <w:rFonts w:ascii="Garamond" w:eastAsia="Times New Roman" w:hAnsi="Garamond" w:cs="Segoe UI"/>
          <w:color w:val="3A3A3A"/>
          <w:sz w:val="28"/>
          <w:szCs w:val="28"/>
          <w:lang w:val="fr-FR" w:eastAsia="fr-FR"/>
        </w:rPr>
        <w:t xml:space="preserve"> philosophiques issues de différents courants spirituels et philosophiques dont l’Islam furent </w:t>
      </w:r>
      <w:proofErr w:type="gramStart"/>
      <w:r w:rsidRPr="00824853">
        <w:rPr>
          <w:rFonts w:ascii="Garamond" w:eastAsia="Times New Roman" w:hAnsi="Garamond" w:cs="Segoe UI"/>
          <w:color w:val="3A3A3A"/>
          <w:sz w:val="28"/>
          <w:szCs w:val="28"/>
          <w:lang w:val="fr-FR" w:eastAsia="fr-FR"/>
        </w:rPr>
        <w:t>traduits</w:t>
      </w:r>
      <w:proofErr w:type="gramEnd"/>
      <w:r w:rsidRPr="00824853">
        <w:rPr>
          <w:rFonts w:ascii="Garamond" w:eastAsia="Times New Roman" w:hAnsi="Garamond" w:cs="Segoe UI"/>
          <w:color w:val="3A3A3A"/>
          <w:sz w:val="28"/>
          <w:szCs w:val="28"/>
          <w:lang w:val="fr-FR" w:eastAsia="fr-FR"/>
        </w:rPr>
        <w:t>. Avicenne, Averroès et Maimonide furent ainsi publiés et étudiés pour la plus grande gloire de l’esprit humain. Nous devons</w:t>
      </w:r>
      <w:r w:rsidR="00F81323">
        <w:rPr>
          <w:rFonts w:ascii="Garamond" w:eastAsia="Times New Roman" w:hAnsi="Garamond" w:cs="Segoe UI"/>
          <w:color w:val="3A3A3A"/>
          <w:sz w:val="28"/>
          <w:szCs w:val="28"/>
          <w:lang w:val="fr-FR" w:eastAsia="fr-FR"/>
        </w:rPr>
        <w:t xml:space="preserve"> aussi </w:t>
      </w:r>
      <w:r w:rsidRPr="00824853">
        <w:rPr>
          <w:rFonts w:ascii="Garamond" w:eastAsia="Times New Roman" w:hAnsi="Garamond" w:cs="Segoe UI"/>
          <w:color w:val="3A3A3A"/>
          <w:sz w:val="28"/>
          <w:szCs w:val="28"/>
          <w:lang w:val="fr-FR" w:eastAsia="fr-FR"/>
        </w:rPr>
        <w:t>souligner que ce fut également dans le Languedoc (Sud de la France) que se révéla quelques siècles plus tard </w:t>
      </w:r>
      <w:r w:rsidRPr="00E454C4">
        <w:rPr>
          <w:rFonts w:ascii="Garamond" w:eastAsia="Times New Roman" w:hAnsi="Garamond" w:cs="Segoe UI"/>
          <w:color w:val="3A3A3A"/>
          <w:sz w:val="28"/>
          <w:szCs w:val="28"/>
          <w:lang w:val="fr-FR" w:eastAsia="fr-FR"/>
        </w:rPr>
        <w:t>l’Ordre Kabbalistique de la Rose-Croix.</w:t>
      </w:r>
    </w:p>
    <w:p w:rsidR="00824853" w:rsidRPr="005162AF" w:rsidRDefault="00824853" w:rsidP="00005877">
      <w:pPr>
        <w:spacing w:after="0" w:line="240" w:lineRule="auto"/>
        <w:jc w:val="both"/>
        <w:rPr>
          <w:rFonts w:ascii="Garamond" w:eastAsia="Times New Roman" w:hAnsi="Garamond" w:cs="Segoe UI"/>
          <w:color w:val="3A3A3A"/>
          <w:sz w:val="28"/>
          <w:szCs w:val="28"/>
          <w:lang w:val="fr-FR" w:eastAsia="fr-FR"/>
        </w:rPr>
      </w:pPr>
      <w:r w:rsidRPr="00824853">
        <w:rPr>
          <w:rFonts w:ascii="Garamond" w:eastAsia="Times New Roman" w:hAnsi="Garamond" w:cs="Segoe UI"/>
          <w:color w:val="3A3A3A"/>
          <w:sz w:val="28"/>
          <w:szCs w:val="28"/>
          <w:lang w:val="fr-FR" w:eastAsia="fr-FR"/>
        </w:rPr>
        <w:t>Au 16</w:t>
      </w:r>
      <w:r w:rsidRPr="00824853">
        <w:rPr>
          <w:rFonts w:ascii="Garamond" w:eastAsia="Times New Roman" w:hAnsi="Garamond" w:cs="Segoe UI"/>
          <w:color w:val="3A3A3A"/>
          <w:sz w:val="28"/>
          <w:szCs w:val="28"/>
          <w:bdr w:val="none" w:sz="0" w:space="0" w:color="auto" w:frame="1"/>
          <w:vertAlign w:val="superscript"/>
          <w:lang w:val="fr-FR" w:eastAsia="fr-FR"/>
        </w:rPr>
        <w:t>ème</w:t>
      </w:r>
      <w:r w:rsidRPr="00824853">
        <w:rPr>
          <w:rFonts w:ascii="Garamond" w:eastAsia="Times New Roman" w:hAnsi="Garamond" w:cs="Segoe UI"/>
          <w:color w:val="3A3A3A"/>
          <w:sz w:val="28"/>
          <w:szCs w:val="28"/>
          <w:lang w:val="fr-FR" w:eastAsia="fr-FR"/>
        </w:rPr>
        <w:t xml:space="preserve"> siècle, à Safed, le Rabbin Isaac </w:t>
      </w:r>
      <w:proofErr w:type="spellStart"/>
      <w:r w:rsidRPr="00824853">
        <w:rPr>
          <w:rFonts w:ascii="Garamond" w:eastAsia="Times New Roman" w:hAnsi="Garamond" w:cs="Segoe UI"/>
          <w:color w:val="3A3A3A"/>
          <w:sz w:val="28"/>
          <w:szCs w:val="28"/>
          <w:lang w:val="fr-FR" w:eastAsia="fr-FR"/>
        </w:rPr>
        <w:t>Louria</w:t>
      </w:r>
      <w:proofErr w:type="spellEnd"/>
      <w:r w:rsidRPr="00824853">
        <w:rPr>
          <w:rFonts w:ascii="Garamond" w:eastAsia="Times New Roman" w:hAnsi="Garamond" w:cs="Segoe UI"/>
          <w:color w:val="3A3A3A"/>
          <w:sz w:val="28"/>
          <w:szCs w:val="28"/>
          <w:lang w:val="fr-FR" w:eastAsia="fr-FR"/>
        </w:rPr>
        <w:t xml:space="preserve"> ainsi que plusieurs kabbalistes poursuivirent le travail sur les ouvrages antérieurs. Ils développèrent des pratiques et techniques capables de les aider à accomplir les expériences décrites dans les livres qu’ils étudiaient. La kabbale fut ainsi plus connue et mieux comprise. Elle devint le moyen de franchir la lettre du texte en se servant de sa richesse et de sa puissance. Il est </w:t>
      </w:r>
      <w:r w:rsidR="00115F8B">
        <w:rPr>
          <w:rFonts w:ascii="Garamond" w:eastAsia="Times New Roman" w:hAnsi="Garamond" w:cs="Segoe UI"/>
          <w:color w:val="3A3A3A"/>
          <w:sz w:val="28"/>
          <w:szCs w:val="28"/>
          <w:lang w:val="fr-FR" w:eastAsia="fr-FR"/>
        </w:rPr>
        <w:t>important</w:t>
      </w:r>
      <w:r w:rsidRPr="00824853">
        <w:rPr>
          <w:rFonts w:ascii="Garamond" w:eastAsia="Times New Roman" w:hAnsi="Garamond" w:cs="Segoe UI"/>
          <w:color w:val="3A3A3A"/>
          <w:sz w:val="28"/>
          <w:szCs w:val="28"/>
          <w:lang w:val="fr-FR" w:eastAsia="fr-FR"/>
        </w:rPr>
        <w:t xml:space="preserve"> de mentionner que ces traditions furent en même temps orales et écrites. Elles étaient orales en ce sens où des techniques et enseignements étaient transmis de Maîtres à disciples ; écrites en ce sens où un certain nombre de textes et de conseils furent rédigés. Mais il n’était pas rare que les Maîtres meurent en léguant un tiers de leurs écrits à leurs disciples, brûlant un autre tiers et se faisant enterrer avec le dernier tiers. Il était</w:t>
      </w:r>
      <w:r w:rsidR="00115F8B">
        <w:rPr>
          <w:rFonts w:ascii="Garamond" w:eastAsia="Times New Roman" w:hAnsi="Garamond" w:cs="Segoe UI"/>
          <w:color w:val="3A3A3A"/>
          <w:sz w:val="28"/>
          <w:szCs w:val="28"/>
          <w:lang w:val="fr-FR" w:eastAsia="fr-FR"/>
        </w:rPr>
        <w:t xml:space="preserve"> absolu</w:t>
      </w:r>
      <w:r w:rsidRPr="00824853">
        <w:rPr>
          <w:rFonts w:ascii="Garamond" w:eastAsia="Times New Roman" w:hAnsi="Garamond" w:cs="Segoe UI"/>
          <w:color w:val="3A3A3A"/>
          <w:sz w:val="28"/>
          <w:szCs w:val="28"/>
          <w:lang w:val="fr-FR" w:eastAsia="fr-FR"/>
        </w:rPr>
        <w:t xml:space="preserve"> pour eux que les techniques essentielles soient le résultat d’un travail intérieur et non une simple réception d’un texte demeurant hors de l’expérience individuelle. On retrouvera la trace de cette coutume dans les traditions de la kabbale chrétienne et de la Rose-Croix. Selon la légende, lorsque la tombe du </w:t>
      </w:r>
      <w:r w:rsidRPr="00824853">
        <w:rPr>
          <w:rFonts w:ascii="Garamond" w:eastAsia="Times New Roman" w:hAnsi="Garamond" w:cs="Segoe UI"/>
          <w:color w:val="3A3A3A"/>
          <w:sz w:val="28"/>
          <w:szCs w:val="28"/>
          <w:lang w:val="fr-FR" w:eastAsia="fr-FR"/>
        </w:rPr>
        <w:lastRenderedPageBreak/>
        <w:t xml:space="preserve">fondateur de cette tradition, Christian </w:t>
      </w:r>
      <w:proofErr w:type="spellStart"/>
      <w:r w:rsidRPr="00824853">
        <w:rPr>
          <w:rFonts w:ascii="Garamond" w:eastAsia="Times New Roman" w:hAnsi="Garamond" w:cs="Segoe UI"/>
          <w:color w:val="3A3A3A"/>
          <w:sz w:val="28"/>
          <w:szCs w:val="28"/>
          <w:lang w:val="fr-FR" w:eastAsia="fr-FR"/>
        </w:rPr>
        <w:t>Rosencreuz</w:t>
      </w:r>
      <w:proofErr w:type="spellEnd"/>
      <w:r w:rsidRPr="00824853">
        <w:rPr>
          <w:rFonts w:ascii="Garamond" w:eastAsia="Times New Roman" w:hAnsi="Garamond" w:cs="Segoe UI"/>
          <w:color w:val="3A3A3A"/>
          <w:sz w:val="28"/>
          <w:szCs w:val="28"/>
          <w:lang w:val="fr-FR" w:eastAsia="fr-FR"/>
        </w:rPr>
        <w:t xml:space="preserve"> fut retrouvée, il tenait entre ses bras un livre, le livre T</w:t>
      </w:r>
      <w:proofErr w:type="gramStart"/>
      <w:r w:rsidRPr="00824853">
        <w:rPr>
          <w:rFonts w:ascii="Garamond" w:eastAsia="Times New Roman" w:hAnsi="Garamond" w:cs="Segoe UI"/>
          <w:color w:val="3A3A3A"/>
          <w:sz w:val="28"/>
          <w:szCs w:val="28"/>
          <w:lang w:val="fr-FR" w:eastAsia="fr-FR"/>
        </w:rPr>
        <w:t>..</w:t>
      </w:r>
      <w:proofErr w:type="gramEnd"/>
      <w:r w:rsidRPr="00824853">
        <w:rPr>
          <w:rFonts w:ascii="Garamond" w:eastAsia="Times New Roman" w:hAnsi="Garamond" w:cs="Segoe UI"/>
          <w:color w:val="3A3A3A"/>
          <w:sz w:val="28"/>
          <w:szCs w:val="28"/>
          <w:lang w:val="fr-FR" w:eastAsia="fr-FR"/>
        </w:rPr>
        <w:t xml:space="preserve"> </w:t>
      </w:r>
      <w:r w:rsidRPr="005162AF">
        <w:rPr>
          <w:rFonts w:ascii="Garamond" w:eastAsia="Times New Roman" w:hAnsi="Garamond" w:cs="Segoe UI"/>
          <w:color w:val="3A3A3A"/>
          <w:sz w:val="28"/>
          <w:szCs w:val="28"/>
          <w:lang w:val="fr-FR" w:eastAsia="fr-FR"/>
        </w:rPr>
        <w:t>Intéressante parenté symbolique !…</w:t>
      </w:r>
    </w:p>
    <w:p w:rsidR="00C976EC" w:rsidRPr="005162AF" w:rsidRDefault="00C976EC" w:rsidP="005162AF">
      <w:pPr>
        <w:jc w:val="both"/>
        <w:rPr>
          <w:rFonts w:ascii="Garamond" w:hAnsi="Garamond"/>
          <w:sz w:val="28"/>
          <w:szCs w:val="28"/>
          <w:lang w:val="fr-FR"/>
        </w:rPr>
      </w:pPr>
    </w:p>
    <w:p w:rsidR="00C976EC" w:rsidRPr="00C976EC" w:rsidRDefault="00C976EC" w:rsidP="00005877">
      <w:pPr>
        <w:spacing w:after="0" w:line="288" w:lineRule="atLeast"/>
        <w:jc w:val="both"/>
        <w:outlineLvl w:val="0"/>
        <w:rPr>
          <w:rFonts w:ascii="Garamond" w:eastAsia="Times New Roman" w:hAnsi="Garamond" w:cs="Times New Roman"/>
          <w:b/>
          <w:bCs/>
          <w:kern w:val="36"/>
          <w:sz w:val="28"/>
          <w:szCs w:val="28"/>
          <w:lang w:val="fr-FR" w:eastAsia="fr-FR"/>
        </w:rPr>
      </w:pPr>
      <w:r w:rsidRPr="00C976EC">
        <w:rPr>
          <w:rFonts w:ascii="Garamond" w:eastAsia="Times New Roman" w:hAnsi="Garamond" w:cs="Times New Roman"/>
          <w:b/>
          <w:bCs/>
          <w:kern w:val="36"/>
          <w:sz w:val="28"/>
          <w:szCs w:val="28"/>
          <w:lang w:val="fr-FR" w:eastAsia="fr-FR"/>
        </w:rPr>
        <w:t>Origines : Quelques dates</w:t>
      </w:r>
    </w:p>
    <w:p w:rsidR="00C976EC" w:rsidRDefault="00C976EC" w:rsidP="00005877">
      <w:pPr>
        <w:pStyle w:val="Paragraphedeliste"/>
        <w:jc w:val="both"/>
        <w:rPr>
          <w:rFonts w:ascii="Garamond" w:hAnsi="Garamond"/>
          <w:sz w:val="28"/>
          <w:szCs w:val="28"/>
          <w:lang w:val="fr-FR"/>
        </w:rPr>
      </w:pPr>
    </w:p>
    <w:p w:rsidR="00C976EC" w:rsidRPr="00C976EC" w:rsidRDefault="00C976EC" w:rsidP="00005877">
      <w:pPr>
        <w:spacing w:after="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b/>
          <w:bCs/>
          <w:color w:val="3A3A3A"/>
          <w:sz w:val="28"/>
          <w:szCs w:val="28"/>
          <w:bdr w:val="none" w:sz="0" w:space="0" w:color="auto" w:frame="1"/>
          <w:lang w:val="fr-FR" w:eastAsia="fr-FR"/>
        </w:rPr>
        <w:t>1er siècle:</w:t>
      </w:r>
    </w:p>
    <w:p w:rsidR="00C976EC" w:rsidRPr="00C976EC" w:rsidRDefault="00C976EC" w:rsidP="005162AF">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Les Rabbins du Talmud parlent de “</w:t>
      </w:r>
      <w:proofErr w:type="spellStart"/>
      <w:r w:rsidRPr="00C976EC">
        <w:rPr>
          <w:rFonts w:ascii="Garamond" w:eastAsia="Times New Roman" w:hAnsi="Garamond" w:cs="Segoe UI"/>
          <w:color w:val="3A3A3A"/>
          <w:sz w:val="28"/>
          <w:szCs w:val="28"/>
          <w:lang w:val="fr-FR" w:eastAsia="fr-FR"/>
        </w:rPr>
        <w:t>nistar</w:t>
      </w:r>
      <w:proofErr w:type="spellEnd"/>
      <w:r w:rsidRPr="00C976EC">
        <w:rPr>
          <w:rFonts w:ascii="Garamond" w:eastAsia="Times New Roman" w:hAnsi="Garamond" w:cs="Segoe UI"/>
          <w:color w:val="3A3A3A"/>
          <w:sz w:val="28"/>
          <w:szCs w:val="28"/>
          <w:lang w:val="fr-FR" w:eastAsia="fr-FR"/>
        </w:rPr>
        <w:t>,” (le secret monde de la Torah)</w:t>
      </w:r>
    </w:p>
    <w:p w:rsidR="00C976EC" w:rsidRPr="00C976EC" w:rsidRDefault="00C976EC" w:rsidP="00005877">
      <w:pPr>
        <w:spacing w:after="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b/>
          <w:bCs/>
          <w:color w:val="3A3A3A"/>
          <w:sz w:val="28"/>
          <w:szCs w:val="28"/>
          <w:bdr w:val="none" w:sz="0" w:space="0" w:color="auto" w:frame="1"/>
          <w:lang w:val="fr-FR" w:eastAsia="fr-FR"/>
        </w:rPr>
        <w:t>Moyen-Age:</w:t>
      </w:r>
    </w:p>
    <w:p w:rsidR="00C976EC" w:rsidRPr="00C976EC" w:rsidRDefault="00C976EC" w:rsidP="005162AF">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 xml:space="preserve">Publication du “Sefer </w:t>
      </w:r>
      <w:proofErr w:type="spellStart"/>
      <w:r w:rsidRPr="00C976EC">
        <w:rPr>
          <w:rFonts w:ascii="Garamond" w:eastAsia="Times New Roman" w:hAnsi="Garamond" w:cs="Segoe UI"/>
          <w:color w:val="3A3A3A"/>
          <w:sz w:val="28"/>
          <w:szCs w:val="28"/>
          <w:lang w:val="fr-FR" w:eastAsia="fr-FR"/>
        </w:rPr>
        <w:t>Yetzirah</w:t>
      </w:r>
      <w:proofErr w:type="spellEnd"/>
      <w:r w:rsidRPr="00C976EC">
        <w:rPr>
          <w:rFonts w:ascii="Garamond" w:eastAsia="Times New Roman" w:hAnsi="Garamond" w:cs="Segoe UI"/>
          <w:color w:val="3A3A3A"/>
          <w:sz w:val="28"/>
          <w:szCs w:val="28"/>
          <w:lang w:val="fr-FR" w:eastAsia="fr-FR"/>
        </w:rPr>
        <w:t>”</w:t>
      </w:r>
    </w:p>
    <w:p w:rsidR="00C976EC" w:rsidRPr="00C976EC" w:rsidRDefault="00C976EC" w:rsidP="00005877">
      <w:pPr>
        <w:spacing w:after="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b/>
          <w:bCs/>
          <w:color w:val="3A3A3A"/>
          <w:sz w:val="28"/>
          <w:szCs w:val="28"/>
          <w:bdr w:val="none" w:sz="0" w:space="0" w:color="auto" w:frame="1"/>
          <w:lang w:val="fr-FR" w:eastAsia="fr-FR"/>
        </w:rPr>
        <w:t>13e siècle:</w:t>
      </w:r>
    </w:p>
    <w:p w:rsidR="00C976EC" w:rsidRPr="00C976EC" w:rsidRDefault="00C976EC" w:rsidP="005162AF">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Zohar (Espagne)</w:t>
      </w:r>
    </w:p>
    <w:p w:rsidR="00C976EC" w:rsidRPr="00C976EC" w:rsidRDefault="00C976EC" w:rsidP="00005877">
      <w:pPr>
        <w:spacing w:after="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b/>
          <w:bCs/>
          <w:color w:val="3A3A3A"/>
          <w:sz w:val="28"/>
          <w:szCs w:val="28"/>
          <w:bdr w:val="none" w:sz="0" w:space="0" w:color="auto" w:frame="1"/>
          <w:lang w:val="fr-FR" w:eastAsia="fr-FR"/>
        </w:rPr>
        <w:t>13e siècle:</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Développement des écoles kabbalistiques en Provence (Sud-Est de la France) et dans diverses universités du Languedoc (sud de la France)</w:t>
      </w:r>
    </w:p>
    <w:p w:rsidR="00C976EC" w:rsidRPr="00C976EC" w:rsidRDefault="00C976EC" w:rsidP="00005877">
      <w:pPr>
        <w:spacing w:after="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b/>
          <w:bCs/>
          <w:color w:val="3A3A3A"/>
          <w:sz w:val="28"/>
          <w:szCs w:val="28"/>
          <w:bdr w:val="none" w:sz="0" w:space="0" w:color="auto" w:frame="1"/>
          <w:lang w:val="fr-FR" w:eastAsia="fr-FR"/>
        </w:rPr>
        <w:t>15e siècle:</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 xml:space="preserve">– Pico </w:t>
      </w:r>
      <w:proofErr w:type="spellStart"/>
      <w:r w:rsidRPr="00C976EC">
        <w:rPr>
          <w:rFonts w:ascii="Garamond" w:eastAsia="Times New Roman" w:hAnsi="Garamond" w:cs="Segoe UI"/>
          <w:color w:val="3A3A3A"/>
          <w:sz w:val="28"/>
          <w:szCs w:val="28"/>
          <w:lang w:val="fr-FR" w:eastAsia="fr-FR"/>
        </w:rPr>
        <w:t>della</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Mirandola</w:t>
      </w:r>
      <w:proofErr w:type="spellEnd"/>
      <w:r w:rsidRPr="00C976EC">
        <w:rPr>
          <w:rFonts w:ascii="Garamond" w:eastAsia="Times New Roman" w:hAnsi="Garamond" w:cs="Segoe UI"/>
          <w:color w:val="3A3A3A"/>
          <w:sz w:val="28"/>
          <w:szCs w:val="28"/>
          <w:lang w:val="fr-FR" w:eastAsia="fr-FR"/>
        </w:rPr>
        <w:t xml:space="preserve"> (Pic de la Mirandole) </w:t>
      </w:r>
      <w:proofErr w:type="spellStart"/>
      <w:r w:rsidRPr="00C976EC">
        <w:rPr>
          <w:rFonts w:ascii="Garamond" w:eastAsia="Times New Roman" w:hAnsi="Garamond" w:cs="Segoe UI"/>
          <w:color w:val="3A3A3A"/>
          <w:sz w:val="28"/>
          <w:szCs w:val="28"/>
          <w:lang w:val="fr-FR" w:eastAsia="fr-FR"/>
        </w:rPr>
        <w:t>Italy</w:t>
      </w:r>
      <w:proofErr w:type="spellEnd"/>
      <w:r w:rsidRPr="00C976EC">
        <w:rPr>
          <w:rFonts w:ascii="Garamond" w:eastAsia="Times New Roman" w:hAnsi="Garamond" w:cs="Segoe UI"/>
          <w:color w:val="3A3A3A"/>
          <w:sz w:val="28"/>
          <w:szCs w:val="28"/>
          <w:lang w:val="fr-FR" w:eastAsia="fr-FR"/>
        </w:rPr>
        <w:t>; naissance de l’école de la Kabbale chrétienne</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 xml:space="preserve">– Heinrich Cornelius Agrippa, naissance de </w:t>
      </w:r>
      <w:r w:rsidR="005162AF" w:rsidRPr="00C976EC">
        <w:rPr>
          <w:rFonts w:ascii="Garamond" w:eastAsia="Times New Roman" w:hAnsi="Garamond" w:cs="Segoe UI"/>
          <w:color w:val="3A3A3A"/>
          <w:sz w:val="28"/>
          <w:szCs w:val="28"/>
          <w:lang w:val="fr-FR" w:eastAsia="fr-FR"/>
        </w:rPr>
        <w:t>la “</w:t>
      </w:r>
      <w:r w:rsidRPr="00C976EC">
        <w:rPr>
          <w:rFonts w:ascii="Garamond" w:eastAsia="Times New Roman" w:hAnsi="Garamond" w:cs="Segoe UI"/>
          <w:color w:val="3A3A3A"/>
          <w:sz w:val="28"/>
          <w:szCs w:val="28"/>
          <w:lang w:val="fr-FR" w:eastAsia="fr-FR"/>
        </w:rPr>
        <w:t>Kabbale magique”</w:t>
      </w:r>
    </w:p>
    <w:p w:rsidR="00C976EC" w:rsidRPr="00C976EC" w:rsidRDefault="00C976EC" w:rsidP="005162AF">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lastRenderedPageBreak/>
        <w:t> </w:t>
      </w:r>
      <w:r w:rsidRPr="00C976EC">
        <w:rPr>
          <w:rFonts w:ascii="Garamond" w:eastAsia="Times New Roman" w:hAnsi="Garamond" w:cs="Segoe UI"/>
          <w:b/>
          <w:bCs/>
          <w:color w:val="3A3A3A"/>
          <w:sz w:val="28"/>
          <w:szCs w:val="28"/>
          <w:bdr w:val="none" w:sz="0" w:space="0" w:color="auto" w:frame="1"/>
          <w:lang w:val="fr-FR" w:eastAsia="fr-FR"/>
        </w:rPr>
        <w:t>16e siècle:</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Safed (</w:t>
      </w:r>
      <w:proofErr w:type="spellStart"/>
      <w:r w:rsidRPr="00C976EC">
        <w:rPr>
          <w:rFonts w:ascii="Garamond" w:eastAsia="Times New Roman" w:hAnsi="Garamond" w:cs="Segoe UI"/>
          <w:color w:val="3A3A3A"/>
          <w:sz w:val="28"/>
          <w:szCs w:val="28"/>
          <w:lang w:val="fr-FR" w:eastAsia="fr-FR"/>
        </w:rPr>
        <w:t>North</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Israel</w:t>
      </w:r>
      <w:proofErr w:type="spellEnd"/>
      <w:r w:rsidRPr="00C976EC">
        <w:rPr>
          <w:rFonts w:ascii="Garamond" w:eastAsia="Times New Roman" w:hAnsi="Garamond" w:cs="Segoe UI"/>
          <w:color w:val="3A3A3A"/>
          <w:sz w:val="28"/>
          <w:szCs w:val="28"/>
          <w:lang w:val="fr-FR" w:eastAsia="fr-FR"/>
        </w:rPr>
        <w:t xml:space="preserve">), Rabbi Isaac </w:t>
      </w:r>
      <w:proofErr w:type="spellStart"/>
      <w:r w:rsidRPr="00C976EC">
        <w:rPr>
          <w:rFonts w:ascii="Garamond" w:eastAsia="Times New Roman" w:hAnsi="Garamond" w:cs="Segoe UI"/>
          <w:color w:val="3A3A3A"/>
          <w:sz w:val="28"/>
          <w:szCs w:val="28"/>
          <w:lang w:val="fr-FR" w:eastAsia="fr-FR"/>
        </w:rPr>
        <w:t>Luria</w:t>
      </w:r>
      <w:proofErr w:type="spellEnd"/>
      <w:r w:rsidRPr="00C976EC">
        <w:rPr>
          <w:rFonts w:ascii="Garamond" w:eastAsia="Times New Roman" w:hAnsi="Garamond" w:cs="Segoe UI"/>
          <w:color w:val="3A3A3A"/>
          <w:sz w:val="28"/>
          <w:szCs w:val="28"/>
          <w:lang w:val="fr-FR" w:eastAsia="fr-FR"/>
        </w:rPr>
        <w:t xml:space="preserve"> et son école.</w:t>
      </w:r>
    </w:p>
    <w:p w:rsidR="00C976EC" w:rsidRPr="00C976EC" w:rsidRDefault="00C976EC" w:rsidP="00005877">
      <w:pPr>
        <w:spacing w:after="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b/>
          <w:bCs/>
          <w:color w:val="3A3A3A"/>
          <w:sz w:val="28"/>
          <w:szCs w:val="28"/>
          <w:bdr w:val="none" w:sz="0" w:space="0" w:color="auto" w:frame="1"/>
          <w:lang w:val="fr-FR" w:eastAsia="fr-FR"/>
        </w:rPr>
        <w:t xml:space="preserve"> 19e </w:t>
      </w:r>
      <w:r w:rsidR="005162AF" w:rsidRPr="00C976EC">
        <w:rPr>
          <w:rFonts w:ascii="Garamond" w:eastAsia="Times New Roman" w:hAnsi="Garamond" w:cs="Segoe UI"/>
          <w:b/>
          <w:bCs/>
          <w:color w:val="3A3A3A"/>
          <w:sz w:val="28"/>
          <w:szCs w:val="28"/>
          <w:bdr w:val="none" w:sz="0" w:space="0" w:color="auto" w:frame="1"/>
          <w:lang w:val="fr-FR" w:eastAsia="fr-FR"/>
        </w:rPr>
        <w:t>siècle :</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proofErr w:type="spellStart"/>
      <w:r w:rsidRPr="00C976EC">
        <w:rPr>
          <w:rFonts w:ascii="Garamond" w:eastAsia="Times New Roman" w:hAnsi="Garamond" w:cs="Segoe UI"/>
          <w:color w:val="3A3A3A"/>
          <w:sz w:val="28"/>
          <w:szCs w:val="28"/>
          <w:lang w:val="fr-FR" w:eastAsia="fr-FR"/>
        </w:rPr>
        <w:t>Eliphas</w:t>
      </w:r>
      <w:proofErr w:type="spellEnd"/>
      <w:r w:rsidRPr="00C976EC">
        <w:rPr>
          <w:rFonts w:ascii="Garamond" w:eastAsia="Times New Roman" w:hAnsi="Garamond" w:cs="Segoe UI"/>
          <w:color w:val="3A3A3A"/>
          <w:sz w:val="28"/>
          <w:szCs w:val="28"/>
          <w:lang w:val="fr-FR" w:eastAsia="fr-FR"/>
        </w:rPr>
        <w:t xml:space="preserve"> Levi, la naissance de </w:t>
      </w:r>
      <w:r w:rsidR="005162AF" w:rsidRPr="00C976EC">
        <w:rPr>
          <w:rFonts w:ascii="Garamond" w:eastAsia="Times New Roman" w:hAnsi="Garamond" w:cs="Segoe UI"/>
          <w:color w:val="3A3A3A"/>
          <w:sz w:val="28"/>
          <w:szCs w:val="28"/>
          <w:lang w:val="fr-FR" w:eastAsia="fr-FR"/>
        </w:rPr>
        <w:t>la “</w:t>
      </w:r>
      <w:r w:rsidRPr="00C976EC">
        <w:rPr>
          <w:rFonts w:ascii="Garamond" w:eastAsia="Times New Roman" w:hAnsi="Garamond" w:cs="Segoe UI"/>
          <w:color w:val="3A3A3A"/>
          <w:sz w:val="28"/>
          <w:szCs w:val="28"/>
          <w:lang w:val="fr-FR" w:eastAsia="fr-FR"/>
        </w:rPr>
        <w:t>Kabbale magique moderne.”</w:t>
      </w:r>
    </w:p>
    <w:p w:rsidR="00EA55F9" w:rsidRPr="005162AF" w:rsidRDefault="00C976EC" w:rsidP="00005877">
      <w:pPr>
        <w:spacing w:after="360" w:line="240" w:lineRule="auto"/>
        <w:jc w:val="both"/>
        <w:rPr>
          <w:rFonts w:ascii="Garamond" w:eastAsia="Times New Roman" w:hAnsi="Garamond" w:cs="Segoe UI"/>
          <w:color w:val="3A3A3A"/>
          <w:sz w:val="28"/>
          <w:szCs w:val="28"/>
          <w:lang w:val="fr-FR" w:eastAsia="fr-FR"/>
        </w:rPr>
      </w:pPr>
      <w:r w:rsidRPr="005162AF">
        <w:rPr>
          <w:rFonts w:ascii="Garamond" w:eastAsia="Times New Roman" w:hAnsi="Garamond" w:cs="Segoe UI"/>
          <w:color w:val="3A3A3A"/>
          <w:sz w:val="28"/>
          <w:szCs w:val="28"/>
          <w:lang w:val="fr-FR" w:eastAsia="fr-FR"/>
        </w:rPr>
        <w:t xml:space="preserve">Editions du “Sefer </w:t>
      </w:r>
      <w:proofErr w:type="spellStart"/>
      <w:r w:rsidRPr="005162AF">
        <w:rPr>
          <w:rFonts w:ascii="Garamond" w:eastAsia="Times New Roman" w:hAnsi="Garamond" w:cs="Segoe UI"/>
          <w:color w:val="3A3A3A"/>
          <w:sz w:val="28"/>
          <w:szCs w:val="28"/>
          <w:lang w:val="fr-FR" w:eastAsia="fr-FR"/>
        </w:rPr>
        <w:t>Yetzirah</w:t>
      </w:r>
      <w:proofErr w:type="spellEnd"/>
      <w:r w:rsidRPr="005162AF">
        <w:rPr>
          <w:rFonts w:ascii="Garamond" w:eastAsia="Times New Roman" w:hAnsi="Garamond" w:cs="Segoe UI"/>
          <w:color w:val="3A3A3A"/>
          <w:sz w:val="28"/>
          <w:szCs w:val="28"/>
          <w:lang w:val="fr-FR" w:eastAsia="fr-FR"/>
        </w:rPr>
        <w:t>”</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Pr>
          <w:rFonts w:ascii="Garamond" w:hAnsi="Garamond"/>
          <w:sz w:val="28"/>
          <w:szCs w:val="28"/>
          <w:lang w:val="fr-FR"/>
        </w:rPr>
        <w:tab/>
      </w:r>
      <w:r w:rsidRPr="00C976EC">
        <w:rPr>
          <w:rFonts w:ascii="Garamond" w:eastAsia="Times New Roman" w:hAnsi="Garamond" w:cs="Segoe UI"/>
          <w:color w:val="3A3A3A"/>
          <w:sz w:val="28"/>
          <w:szCs w:val="28"/>
          <w:lang w:val="fr-FR" w:eastAsia="fr-FR"/>
        </w:rPr>
        <w:t xml:space="preserve">En fonction de leur contenu particulier et suivant leur succession chronologique, on peut distinguer les principaux courants suivants: l’ésotérisme de la période talmudique (IIe-Ve s.), qui se prolonge, avec une évolution de la terminologie, dans les spéculations mystiques sur le «char divin», la </w:t>
      </w:r>
      <w:proofErr w:type="spellStart"/>
      <w:r w:rsidRPr="00C976EC">
        <w:rPr>
          <w:rFonts w:ascii="Garamond" w:eastAsia="Times New Roman" w:hAnsi="Garamond" w:cs="Segoe UI"/>
          <w:color w:val="3A3A3A"/>
          <w:sz w:val="28"/>
          <w:szCs w:val="28"/>
          <w:lang w:val="fr-FR" w:eastAsia="fr-FR"/>
        </w:rPr>
        <w:t>merkaba</w:t>
      </w:r>
      <w:proofErr w:type="spellEnd"/>
      <w:r w:rsidRPr="00C976EC">
        <w:rPr>
          <w:rFonts w:ascii="Garamond" w:eastAsia="Times New Roman" w:hAnsi="Garamond" w:cs="Segoe UI"/>
          <w:color w:val="3A3A3A"/>
          <w:sz w:val="28"/>
          <w:szCs w:val="28"/>
          <w:lang w:val="fr-FR" w:eastAsia="fr-FR"/>
        </w:rPr>
        <w:t xml:space="preserve"> (IIIe-VIIe s.); le mouvement des hassidim («hommes pieux») d’Allemagne (XIIe-XIVe s.); la kabbale d’Espagne avec ses deux branches de la théosophie spéculative et de la kabbale «prophétique» (XIIe-XVe s.); l’école d’Isaac Luria (à partir d’environ 1530) et la mystique populaire, en Pologne, appelée également hassidisme (de 1750 à l’époque contemporaine).</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 xml:space="preserve">Chacun de ces courants a laissé une littérature abondante qui revêt une forme et des moyens d’expression particuliers. Leur trait commun est l’absence de toute donnée d’autobiographie spirituelle. L’objet de la vision ou de la contemplation est décrit objectivement par un auteur dont l’identité est laissée dans l’ombre, ou bien dissimulée sous le </w:t>
      </w:r>
      <w:r w:rsidRPr="00C976EC">
        <w:rPr>
          <w:rFonts w:ascii="Garamond" w:eastAsia="Times New Roman" w:hAnsi="Garamond" w:cs="Segoe UI"/>
          <w:color w:val="3A3A3A"/>
          <w:sz w:val="28"/>
          <w:szCs w:val="28"/>
          <w:lang w:val="fr-FR" w:eastAsia="fr-FR"/>
        </w:rPr>
        <w:lastRenderedPageBreak/>
        <w:t>pseudonyme d’une autorité religieuse hautement respectée. Cette psychologie caractéristique des mystiques juifs explique que, pour un matériel doctrinal riche et relativement bien exploré, la documentation biographique – surtout celle qui concerne les premières périodes – soit extrêmement pauvre.</w:t>
      </w:r>
    </w:p>
    <w:p w:rsidR="00C976EC" w:rsidRPr="00C976EC" w:rsidRDefault="00C976EC" w:rsidP="00005877">
      <w:pPr>
        <w:spacing w:after="0" w:line="288" w:lineRule="atLeast"/>
        <w:jc w:val="both"/>
        <w:outlineLvl w:val="1"/>
        <w:rPr>
          <w:rFonts w:ascii="Garamond" w:eastAsia="Times New Roman" w:hAnsi="Garamond" w:cs="Segoe UI"/>
          <w:b/>
          <w:bCs/>
          <w:color w:val="3A3A3A"/>
          <w:sz w:val="28"/>
          <w:szCs w:val="28"/>
          <w:lang w:val="fr-FR" w:eastAsia="fr-FR"/>
        </w:rPr>
      </w:pPr>
      <w:r w:rsidRPr="00C976EC">
        <w:rPr>
          <w:rFonts w:ascii="Garamond" w:eastAsia="Times New Roman" w:hAnsi="Garamond" w:cs="Segoe UI"/>
          <w:b/>
          <w:bCs/>
          <w:color w:val="3A3A3A"/>
          <w:sz w:val="28"/>
          <w:szCs w:val="28"/>
          <w:bdr w:val="none" w:sz="0" w:space="0" w:color="auto" w:frame="1"/>
          <w:lang w:val="fr-FR" w:eastAsia="fr-FR"/>
        </w:rPr>
        <w:t>Période talmudique (IIe-Ve siècle)</w:t>
      </w:r>
    </w:p>
    <w:p w:rsidR="00C976EC" w:rsidRPr="00C976EC" w:rsidRDefault="00C976EC" w:rsidP="00005877">
      <w:pPr>
        <w:spacing w:after="300" w:line="288" w:lineRule="atLeast"/>
        <w:jc w:val="both"/>
        <w:outlineLvl w:val="2"/>
        <w:rPr>
          <w:rFonts w:ascii="Garamond" w:eastAsia="Times New Roman" w:hAnsi="Garamond" w:cs="Segoe UI"/>
          <w:b/>
          <w:bCs/>
          <w:color w:val="3A3A3A"/>
          <w:sz w:val="28"/>
          <w:szCs w:val="28"/>
          <w:lang w:val="fr-FR" w:eastAsia="fr-FR"/>
        </w:rPr>
      </w:pPr>
      <w:r w:rsidRPr="00C976EC">
        <w:rPr>
          <w:rFonts w:ascii="Garamond" w:eastAsia="Times New Roman" w:hAnsi="Garamond" w:cs="Segoe UI"/>
          <w:b/>
          <w:bCs/>
          <w:color w:val="3A3A3A"/>
          <w:sz w:val="28"/>
          <w:szCs w:val="28"/>
          <w:lang w:val="fr-FR" w:eastAsia="fr-FR"/>
        </w:rPr>
        <w:t>La mystique du Trône</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 xml:space="preserve">Née en Palestine, la mystique juive évolua parallèlement à la religion exotérique; les premiers écrits sont anonymes ou pseudépigraphes. Bien qu’aucun auteur n’ait été identifié avec certitude, on attribue un rôle actif à certains docteurs de la Mishna (IIe-IIIe s.), comme R. </w:t>
      </w:r>
      <w:proofErr w:type="spellStart"/>
      <w:r w:rsidRPr="00C976EC">
        <w:rPr>
          <w:rFonts w:ascii="Garamond" w:eastAsia="Times New Roman" w:hAnsi="Garamond" w:cs="Segoe UI"/>
          <w:color w:val="3A3A3A"/>
          <w:sz w:val="28"/>
          <w:szCs w:val="28"/>
          <w:lang w:val="fr-FR" w:eastAsia="fr-FR"/>
        </w:rPr>
        <w:t>Johannan</w:t>
      </w:r>
      <w:proofErr w:type="spellEnd"/>
      <w:r w:rsidRPr="00C976EC">
        <w:rPr>
          <w:rFonts w:ascii="Garamond" w:eastAsia="Times New Roman" w:hAnsi="Garamond" w:cs="Segoe UI"/>
          <w:color w:val="3A3A3A"/>
          <w:sz w:val="28"/>
          <w:szCs w:val="28"/>
          <w:lang w:val="fr-FR" w:eastAsia="fr-FR"/>
        </w:rPr>
        <w:t xml:space="preserve"> ben </w:t>
      </w:r>
      <w:proofErr w:type="spellStart"/>
      <w:r w:rsidRPr="00C976EC">
        <w:rPr>
          <w:rFonts w:ascii="Garamond" w:eastAsia="Times New Roman" w:hAnsi="Garamond" w:cs="Segoe UI"/>
          <w:color w:val="3A3A3A"/>
          <w:sz w:val="28"/>
          <w:szCs w:val="28"/>
          <w:lang w:val="fr-FR" w:eastAsia="fr-FR"/>
        </w:rPr>
        <w:t>Zakkaï</w:t>
      </w:r>
      <w:proofErr w:type="spellEnd"/>
      <w:r w:rsidRPr="00C976EC">
        <w:rPr>
          <w:rFonts w:ascii="Garamond" w:eastAsia="Times New Roman" w:hAnsi="Garamond" w:cs="Segoe UI"/>
          <w:color w:val="3A3A3A"/>
          <w:sz w:val="28"/>
          <w:szCs w:val="28"/>
          <w:lang w:val="fr-FR" w:eastAsia="fr-FR"/>
        </w:rPr>
        <w:t xml:space="preserve">, Ben </w:t>
      </w:r>
      <w:proofErr w:type="spellStart"/>
      <w:r w:rsidRPr="00C976EC">
        <w:rPr>
          <w:rFonts w:ascii="Garamond" w:eastAsia="Times New Roman" w:hAnsi="Garamond" w:cs="Segoe UI"/>
          <w:color w:val="3A3A3A"/>
          <w:sz w:val="28"/>
          <w:szCs w:val="28"/>
          <w:lang w:val="fr-FR" w:eastAsia="fr-FR"/>
        </w:rPr>
        <w:t>Zoma</w:t>
      </w:r>
      <w:proofErr w:type="spellEnd"/>
      <w:r w:rsidRPr="00C976EC">
        <w:rPr>
          <w:rFonts w:ascii="Garamond" w:eastAsia="Times New Roman" w:hAnsi="Garamond" w:cs="Segoe UI"/>
          <w:color w:val="3A3A3A"/>
          <w:sz w:val="28"/>
          <w:szCs w:val="28"/>
          <w:lang w:val="fr-FR" w:eastAsia="fr-FR"/>
        </w:rPr>
        <w:t xml:space="preserve">, R. </w:t>
      </w:r>
      <w:proofErr w:type="spellStart"/>
      <w:r w:rsidRPr="00C976EC">
        <w:rPr>
          <w:rFonts w:ascii="Garamond" w:eastAsia="Times New Roman" w:hAnsi="Garamond" w:cs="Segoe UI"/>
          <w:color w:val="3A3A3A"/>
          <w:sz w:val="28"/>
          <w:szCs w:val="28"/>
          <w:lang w:val="fr-FR" w:eastAsia="fr-FR"/>
        </w:rPr>
        <w:t>Aqiba</w:t>
      </w:r>
      <w:proofErr w:type="spellEnd"/>
      <w:r w:rsidRPr="00C976EC">
        <w:rPr>
          <w:rFonts w:ascii="Garamond" w:eastAsia="Times New Roman" w:hAnsi="Garamond" w:cs="Segoe UI"/>
          <w:color w:val="3A3A3A"/>
          <w:sz w:val="28"/>
          <w:szCs w:val="28"/>
          <w:lang w:val="fr-FR" w:eastAsia="fr-FR"/>
        </w:rPr>
        <w:t xml:space="preserve">, R. </w:t>
      </w:r>
      <w:proofErr w:type="spellStart"/>
      <w:r w:rsidRPr="00C976EC">
        <w:rPr>
          <w:rFonts w:ascii="Garamond" w:eastAsia="Times New Roman" w:hAnsi="Garamond" w:cs="Segoe UI"/>
          <w:color w:val="3A3A3A"/>
          <w:sz w:val="28"/>
          <w:szCs w:val="28"/>
          <w:lang w:val="fr-FR" w:eastAsia="fr-FR"/>
        </w:rPr>
        <w:t>Méir</w:t>
      </w:r>
      <w:proofErr w:type="spellEnd"/>
      <w:r w:rsidRPr="00C976EC">
        <w:rPr>
          <w:rFonts w:ascii="Garamond" w:eastAsia="Times New Roman" w:hAnsi="Garamond" w:cs="Segoe UI"/>
          <w:color w:val="3A3A3A"/>
          <w:sz w:val="28"/>
          <w:szCs w:val="28"/>
          <w:lang w:val="fr-FR" w:eastAsia="fr-FR"/>
        </w:rPr>
        <w:t xml:space="preserve">, R. Siméon ben </w:t>
      </w:r>
      <w:proofErr w:type="spellStart"/>
      <w:r w:rsidRPr="00C976EC">
        <w:rPr>
          <w:rFonts w:ascii="Garamond" w:eastAsia="Times New Roman" w:hAnsi="Garamond" w:cs="Segoe UI"/>
          <w:color w:val="3A3A3A"/>
          <w:sz w:val="28"/>
          <w:szCs w:val="28"/>
          <w:lang w:val="fr-FR" w:eastAsia="fr-FR"/>
        </w:rPr>
        <w:t>Lakish</w:t>
      </w:r>
      <w:proofErr w:type="spellEnd"/>
      <w:r w:rsidRPr="00C976EC">
        <w:rPr>
          <w:rFonts w:ascii="Garamond" w:eastAsia="Times New Roman" w:hAnsi="Garamond" w:cs="Segoe UI"/>
          <w:color w:val="3A3A3A"/>
          <w:sz w:val="28"/>
          <w:szCs w:val="28"/>
          <w:lang w:val="fr-FR" w:eastAsia="fr-FR"/>
        </w:rPr>
        <w:t xml:space="preserve">. De la Mishna elle-même (compilation de législation religieuse datant du IIe s.) toute allusion d’ordre ésotérique a été exclue; certains fragments ont été cependant conservés dans la </w:t>
      </w:r>
      <w:proofErr w:type="spellStart"/>
      <w:r w:rsidRPr="00C976EC">
        <w:rPr>
          <w:rFonts w:ascii="Garamond" w:eastAsia="Times New Roman" w:hAnsi="Garamond" w:cs="Segoe UI"/>
          <w:color w:val="3A3A3A"/>
          <w:sz w:val="28"/>
          <w:szCs w:val="28"/>
          <w:lang w:val="fr-FR" w:eastAsia="fr-FR"/>
        </w:rPr>
        <w:t>Tosefta</w:t>
      </w:r>
      <w:proofErr w:type="spellEnd"/>
      <w:r w:rsidRPr="00C976EC">
        <w:rPr>
          <w:rFonts w:ascii="Garamond" w:eastAsia="Times New Roman" w:hAnsi="Garamond" w:cs="Segoe UI"/>
          <w:color w:val="3A3A3A"/>
          <w:sz w:val="28"/>
          <w:szCs w:val="28"/>
          <w:lang w:val="fr-FR" w:eastAsia="fr-FR"/>
        </w:rPr>
        <w:t xml:space="preserve"> (recueil contemporain de sentences non intégrées à la Mishna). Les écrits majeurs de ce courant, visionnaire plutôt que spéculatif, ont pour sujet central le monde du Trône, lieu de la manifestation de la Gloire divine et de la disposition hiérarchique des différentes classes d’anges et d’archontes. Leur forme littéraire s’apparente à celle des écrits apocalyptiques qui décrivent les visions de l’âme au cours de son voyage céleste. Un groupe de textes, dont les premiers remontent à la même époque, développent des spéculations cosmologiques fondées sur celles de la Mishna </w:t>
      </w:r>
      <w:proofErr w:type="spellStart"/>
      <w:r w:rsidRPr="00C976EC">
        <w:rPr>
          <w:rFonts w:ascii="Garamond" w:eastAsia="Times New Roman" w:hAnsi="Garamond" w:cs="Segoe UI"/>
          <w:color w:val="3A3A3A"/>
          <w:sz w:val="28"/>
          <w:szCs w:val="28"/>
          <w:lang w:val="fr-FR" w:eastAsia="fr-FR"/>
        </w:rPr>
        <w:lastRenderedPageBreak/>
        <w:t>Hagiga</w:t>
      </w:r>
      <w:proofErr w:type="spellEnd"/>
      <w:r w:rsidRPr="00C976EC">
        <w:rPr>
          <w:rFonts w:ascii="Garamond" w:eastAsia="Times New Roman" w:hAnsi="Garamond" w:cs="Segoe UI"/>
          <w:color w:val="3A3A3A"/>
          <w:sz w:val="28"/>
          <w:szCs w:val="28"/>
          <w:lang w:val="fr-FR" w:eastAsia="fr-FR"/>
        </w:rPr>
        <w:t xml:space="preserve"> et étudient plus particulièrement la structure et le nombre des cieux (écrits de </w:t>
      </w:r>
      <w:proofErr w:type="spellStart"/>
      <w:r w:rsidRPr="00C976EC">
        <w:rPr>
          <w:rFonts w:ascii="Garamond" w:eastAsia="Times New Roman" w:hAnsi="Garamond" w:cs="Segoe UI"/>
          <w:color w:val="3A3A3A"/>
          <w:sz w:val="28"/>
          <w:szCs w:val="28"/>
          <w:lang w:val="fr-FR" w:eastAsia="fr-FR"/>
        </w:rPr>
        <w:t>Ma‘ase</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bereshit</w:t>
      </w:r>
      <w:proofErr w:type="spellEnd"/>
      <w:r w:rsidRPr="00C976EC">
        <w:rPr>
          <w:rFonts w:ascii="Garamond" w:eastAsia="Times New Roman" w:hAnsi="Garamond" w:cs="Segoe UI"/>
          <w:color w:val="3A3A3A"/>
          <w:sz w:val="28"/>
          <w:szCs w:val="28"/>
          <w:lang w:val="fr-FR" w:eastAsia="fr-FR"/>
        </w:rPr>
        <w:t xml:space="preserve">, ou Œuvres de la création). Le plus célèbre traité de cette période, intitulé </w:t>
      </w:r>
      <w:proofErr w:type="spellStart"/>
      <w:r w:rsidRPr="00C976EC">
        <w:rPr>
          <w:rFonts w:ascii="Garamond" w:eastAsia="Times New Roman" w:hAnsi="Garamond" w:cs="Segoe UI"/>
          <w:color w:val="3A3A3A"/>
          <w:sz w:val="28"/>
          <w:szCs w:val="28"/>
          <w:lang w:val="fr-FR" w:eastAsia="fr-FR"/>
        </w:rPr>
        <w:t>Shi</w:t>
      </w:r>
      <w:proofErr w:type="spellEnd"/>
      <w:r w:rsidRPr="00C976EC">
        <w:rPr>
          <w:rFonts w:ascii="Garamond" w:eastAsia="Times New Roman" w:hAnsi="Garamond" w:cs="Segoe UI"/>
          <w:color w:val="3A3A3A"/>
          <w:sz w:val="28"/>
          <w:szCs w:val="28"/>
          <w:lang w:val="fr-FR" w:eastAsia="fr-FR"/>
        </w:rPr>
        <w:t xml:space="preserve"> ‘ </w:t>
      </w:r>
      <w:proofErr w:type="spellStart"/>
      <w:r w:rsidRPr="00C976EC">
        <w:rPr>
          <w:rFonts w:ascii="Garamond" w:eastAsia="Times New Roman" w:hAnsi="Garamond" w:cs="Segoe UI"/>
          <w:color w:val="3A3A3A"/>
          <w:sz w:val="28"/>
          <w:szCs w:val="28"/>
          <w:lang w:val="fr-FR" w:eastAsia="fr-FR"/>
        </w:rPr>
        <w:t>ur</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qoma</w:t>
      </w:r>
      <w:proofErr w:type="spellEnd"/>
      <w:r w:rsidRPr="00C976EC">
        <w:rPr>
          <w:rFonts w:ascii="Garamond" w:eastAsia="Times New Roman" w:hAnsi="Garamond" w:cs="Segoe UI"/>
          <w:color w:val="3A3A3A"/>
          <w:sz w:val="28"/>
          <w:szCs w:val="28"/>
          <w:lang w:val="fr-FR" w:eastAsia="fr-FR"/>
        </w:rPr>
        <w:t xml:space="preserve"> (Mesures du corps), décrit l’apparence corporelle que la divinité revêt lors de sa théophanie sur le Trône. L’immensité des « mesures » est à la fois une expression symbolique de l’incommensurabilité de la transcendance divine et un ensemble complexe de symbolismes numériques. Ce traité contient aussi les premières mentions de </w:t>
      </w:r>
      <w:proofErr w:type="spellStart"/>
      <w:r w:rsidRPr="00C976EC">
        <w:rPr>
          <w:rFonts w:ascii="Garamond" w:eastAsia="Times New Roman" w:hAnsi="Garamond" w:cs="Segoe UI"/>
          <w:color w:val="3A3A3A"/>
          <w:sz w:val="28"/>
          <w:szCs w:val="28"/>
          <w:lang w:val="fr-FR" w:eastAsia="fr-FR"/>
        </w:rPr>
        <w:t>Metatron</w:t>
      </w:r>
      <w:proofErr w:type="spellEnd"/>
      <w:r w:rsidRPr="00C976EC">
        <w:rPr>
          <w:rFonts w:ascii="Garamond" w:eastAsia="Times New Roman" w:hAnsi="Garamond" w:cs="Segoe UI"/>
          <w:color w:val="3A3A3A"/>
          <w:sz w:val="28"/>
          <w:szCs w:val="28"/>
          <w:lang w:val="fr-FR" w:eastAsia="fr-FR"/>
        </w:rPr>
        <w:t>, l’ange suprême, métamorphose céleste d’Enoch après son enlèvement au ciel, qui fut un thème central des écrits de la seconde phase de ce courant (IIe Livre d’Enoch).</w:t>
      </w:r>
    </w:p>
    <w:p w:rsidR="00C976EC" w:rsidRPr="00C976EC" w:rsidRDefault="00C976EC" w:rsidP="00005877">
      <w:pPr>
        <w:spacing w:after="0" w:line="288" w:lineRule="atLeast"/>
        <w:jc w:val="both"/>
        <w:outlineLvl w:val="2"/>
        <w:rPr>
          <w:rFonts w:ascii="Garamond" w:eastAsia="Times New Roman" w:hAnsi="Garamond" w:cs="Segoe UI"/>
          <w:b/>
          <w:bCs/>
          <w:color w:val="3A3A3A"/>
          <w:sz w:val="28"/>
          <w:szCs w:val="28"/>
          <w:lang w:val="fr-FR" w:eastAsia="fr-FR"/>
        </w:rPr>
      </w:pPr>
      <w:r w:rsidRPr="00C976EC">
        <w:rPr>
          <w:rFonts w:ascii="Garamond" w:eastAsia="Times New Roman" w:hAnsi="Garamond" w:cs="Segoe UI"/>
          <w:b/>
          <w:bCs/>
          <w:i/>
          <w:iCs/>
          <w:color w:val="3A3A3A"/>
          <w:sz w:val="28"/>
          <w:szCs w:val="28"/>
          <w:bdr w:val="none" w:sz="0" w:space="0" w:color="auto" w:frame="1"/>
          <w:lang w:val="fr-FR" w:eastAsia="fr-FR"/>
        </w:rPr>
        <w:t xml:space="preserve">La mystique de la </w:t>
      </w:r>
      <w:proofErr w:type="spellStart"/>
      <w:r w:rsidRPr="00C976EC">
        <w:rPr>
          <w:rFonts w:ascii="Garamond" w:eastAsia="Times New Roman" w:hAnsi="Garamond" w:cs="Segoe UI"/>
          <w:b/>
          <w:bCs/>
          <w:i/>
          <w:iCs/>
          <w:color w:val="3A3A3A"/>
          <w:sz w:val="28"/>
          <w:szCs w:val="28"/>
          <w:bdr w:val="none" w:sz="0" w:space="0" w:color="auto" w:frame="1"/>
          <w:lang w:val="fr-FR" w:eastAsia="fr-FR"/>
        </w:rPr>
        <w:t>Merkaba</w:t>
      </w:r>
      <w:proofErr w:type="spellEnd"/>
      <w:r w:rsidRPr="00C976EC">
        <w:rPr>
          <w:rFonts w:ascii="Garamond" w:eastAsia="Times New Roman" w:hAnsi="Garamond" w:cs="Segoe UI"/>
          <w:b/>
          <w:bCs/>
          <w:i/>
          <w:iCs/>
          <w:color w:val="3A3A3A"/>
          <w:sz w:val="28"/>
          <w:szCs w:val="28"/>
          <w:bdr w:val="none" w:sz="0" w:space="0" w:color="auto" w:frame="1"/>
          <w:lang w:val="fr-FR" w:eastAsia="fr-FR"/>
        </w:rPr>
        <w:t xml:space="preserve"> (IIIe-VIIe siècle)</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Le centre des enseignements ésotériques se déplace ensuite à Babylone, mais les thèmes en demeurent identiques: l’objet principal des visions reste le char divin (</w:t>
      </w:r>
      <w:proofErr w:type="spellStart"/>
      <w:r w:rsidRPr="00C976EC">
        <w:rPr>
          <w:rFonts w:ascii="Garamond" w:eastAsia="Times New Roman" w:hAnsi="Garamond" w:cs="Segoe UI"/>
          <w:color w:val="3A3A3A"/>
          <w:sz w:val="28"/>
          <w:szCs w:val="28"/>
          <w:lang w:val="fr-FR" w:eastAsia="fr-FR"/>
        </w:rPr>
        <w:t>merkaba</w:t>
      </w:r>
      <w:proofErr w:type="spellEnd"/>
      <w:r w:rsidRPr="00C976EC">
        <w:rPr>
          <w:rFonts w:ascii="Garamond" w:eastAsia="Times New Roman" w:hAnsi="Garamond" w:cs="Segoe UI"/>
          <w:color w:val="3A3A3A"/>
          <w:sz w:val="28"/>
          <w:szCs w:val="28"/>
          <w:lang w:val="fr-FR" w:eastAsia="fr-FR"/>
        </w:rPr>
        <w:t xml:space="preserve"> ; la référence scripturaire est Ézéchiel, chap. I). Seule change la terminologie: le voyage céleste est désigné désormais comme la « descente » vers la </w:t>
      </w:r>
      <w:proofErr w:type="spellStart"/>
      <w:r w:rsidRPr="00C976EC">
        <w:rPr>
          <w:rFonts w:ascii="Garamond" w:eastAsia="Times New Roman" w:hAnsi="Garamond" w:cs="Segoe UI"/>
          <w:color w:val="3A3A3A"/>
          <w:sz w:val="28"/>
          <w:szCs w:val="28"/>
          <w:lang w:val="fr-FR" w:eastAsia="fr-FR"/>
        </w:rPr>
        <w:t>Merkaba</w:t>
      </w:r>
      <w:proofErr w:type="spellEnd"/>
      <w:r w:rsidRPr="00C976EC">
        <w:rPr>
          <w:rFonts w:ascii="Garamond" w:eastAsia="Times New Roman" w:hAnsi="Garamond" w:cs="Segoe UI"/>
          <w:color w:val="3A3A3A"/>
          <w:sz w:val="28"/>
          <w:szCs w:val="28"/>
          <w:lang w:val="fr-FR" w:eastAsia="fr-FR"/>
        </w:rPr>
        <w:t xml:space="preserve">. En plus de l’influence de la littérature apocalyptique, on y décèle celle des idées néo-platoniciennes et néo-pythagoriciennes, qui apparaît surtout dans la symbolique des nombres et dans la prise en considération, en vue de l’admission des adeptes, de critères physiognomoniques et non seulement moraux. Les plus importants documents, brefs traités dont il ne reste souvent que des fragments épars et qui s’intitulent </w:t>
      </w:r>
      <w:proofErr w:type="spellStart"/>
      <w:r w:rsidRPr="00C976EC">
        <w:rPr>
          <w:rFonts w:ascii="Garamond" w:eastAsia="Times New Roman" w:hAnsi="Garamond" w:cs="Segoe UI"/>
          <w:color w:val="3A3A3A"/>
          <w:sz w:val="28"/>
          <w:szCs w:val="28"/>
          <w:lang w:val="fr-FR" w:eastAsia="fr-FR"/>
        </w:rPr>
        <w:t>Heykhalot</w:t>
      </w:r>
      <w:proofErr w:type="spellEnd"/>
      <w:r w:rsidRPr="00C976EC">
        <w:rPr>
          <w:rFonts w:ascii="Garamond" w:eastAsia="Times New Roman" w:hAnsi="Garamond" w:cs="Segoe UI"/>
          <w:color w:val="3A3A3A"/>
          <w:sz w:val="28"/>
          <w:szCs w:val="28"/>
          <w:lang w:val="fr-FR" w:eastAsia="fr-FR"/>
        </w:rPr>
        <w:t xml:space="preserve"> (Palais célestes, Grands </w:t>
      </w:r>
      <w:proofErr w:type="spellStart"/>
      <w:r w:rsidRPr="00C976EC">
        <w:rPr>
          <w:rFonts w:ascii="Garamond" w:eastAsia="Times New Roman" w:hAnsi="Garamond" w:cs="Segoe UI"/>
          <w:color w:val="3A3A3A"/>
          <w:sz w:val="28"/>
          <w:szCs w:val="28"/>
          <w:lang w:val="fr-FR" w:eastAsia="fr-FR"/>
        </w:rPr>
        <w:t>Heykhalot</w:t>
      </w:r>
      <w:proofErr w:type="spellEnd"/>
      <w:r w:rsidRPr="00C976EC">
        <w:rPr>
          <w:rFonts w:ascii="Garamond" w:eastAsia="Times New Roman" w:hAnsi="Garamond" w:cs="Segoe UI"/>
          <w:color w:val="3A3A3A"/>
          <w:sz w:val="28"/>
          <w:szCs w:val="28"/>
          <w:lang w:val="fr-FR" w:eastAsia="fr-FR"/>
        </w:rPr>
        <w:t xml:space="preserve">, Petits </w:t>
      </w:r>
      <w:proofErr w:type="spellStart"/>
      <w:r w:rsidRPr="00C976EC">
        <w:rPr>
          <w:rFonts w:ascii="Garamond" w:eastAsia="Times New Roman" w:hAnsi="Garamond" w:cs="Segoe UI"/>
          <w:color w:val="3A3A3A"/>
          <w:sz w:val="28"/>
          <w:szCs w:val="28"/>
          <w:lang w:val="fr-FR" w:eastAsia="fr-FR"/>
        </w:rPr>
        <w:t>Heykhalot</w:t>
      </w:r>
      <w:proofErr w:type="spellEnd"/>
      <w:r w:rsidRPr="00C976EC">
        <w:rPr>
          <w:rFonts w:ascii="Garamond" w:eastAsia="Times New Roman" w:hAnsi="Garamond" w:cs="Segoe UI"/>
          <w:color w:val="3A3A3A"/>
          <w:sz w:val="28"/>
          <w:szCs w:val="28"/>
          <w:lang w:val="fr-FR" w:eastAsia="fr-FR"/>
        </w:rPr>
        <w:t xml:space="preserve">, IIIe-IVe s.), </w:t>
      </w:r>
      <w:r w:rsidRPr="00C976EC">
        <w:rPr>
          <w:rFonts w:ascii="Garamond" w:eastAsia="Times New Roman" w:hAnsi="Garamond" w:cs="Segoe UI"/>
          <w:color w:val="3A3A3A"/>
          <w:sz w:val="28"/>
          <w:szCs w:val="28"/>
          <w:lang w:val="fr-FR" w:eastAsia="fr-FR"/>
        </w:rPr>
        <w:lastRenderedPageBreak/>
        <w:t xml:space="preserve">contiennent des descriptions des palais ou demeures célestes, dont le septième renferme le Trône. On y remarque une technique incantatoire qui se fonde sur la vertu extatique de certaines formules liturgiques et scripturaires (surtout celle d’Isaïe, VI, 3: « Saint, saint, saint») ou sur celle des hymnes caractéristiques de cette littérature. Le seul exposé théorique provenant de cette période, un traité cosmologique intitulé Sefer </w:t>
      </w:r>
      <w:proofErr w:type="spellStart"/>
      <w:r w:rsidRPr="00C976EC">
        <w:rPr>
          <w:rFonts w:ascii="Garamond" w:eastAsia="Times New Roman" w:hAnsi="Garamond" w:cs="Segoe UI"/>
          <w:color w:val="3A3A3A"/>
          <w:sz w:val="28"/>
          <w:szCs w:val="28"/>
          <w:lang w:val="fr-FR" w:eastAsia="fr-FR"/>
        </w:rPr>
        <w:t>Yesira</w:t>
      </w:r>
      <w:proofErr w:type="spellEnd"/>
      <w:r w:rsidRPr="00C976EC">
        <w:rPr>
          <w:rFonts w:ascii="Garamond" w:eastAsia="Times New Roman" w:hAnsi="Garamond" w:cs="Segoe UI"/>
          <w:color w:val="3A3A3A"/>
          <w:sz w:val="28"/>
          <w:szCs w:val="28"/>
          <w:lang w:val="fr-FR" w:eastAsia="fr-FR"/>
        </w:rPr>
        <w:t xml:space="preserve"> (Livre de la création, entre les IIe et Ve s.), contient la première mention de la doctrine des</w:t>
      </w:r>
      <w:r w:rsidR="00636065">
        <w:rPr>
          <w:rFonts w:ascii="Garamond" w:eastAsia="Times New Roman" w:hAnsi="Garamond" w:cs="Segoe UI"/>
          <w:color w:val="3A3A3A"/>
          <w:sz w:val="28"/>
          <w:szCs w:val="28"/>
          <w:lang w:val="fr-FR" w:eastAsia="fr-FR"/>
        </w:rPr>
        <w:t xml:space="preserve"> </w:t>
      </w:r>
      <w:r w:rsidRPr="00C976EC">
        <w:rPr>
          <w:rFonts w:ascii="Garamond" w:eastAsia="Times New Roman" w:hAnsi="Garamond" w:cs="Segoe UI"/>
          <w:color w:val="3A3A3A"/>
          <w:sz w:val="28"/>
          <w:szCs w:val="28"/>
          <w:lang w:val="fr-FR" w:eastAsia="fr-FR"/>
        </w:rPr>
        <w:t xml:space="preserve">sefirot, considérées ici comme les dix nombres primordiaux qui fournissent, avec les vingt-deux lettres de l’alphabet hébraïque, les éléments spirituels de la création. La doctrine des sefirot et de la mystique du langage Sefer </w:t>
      </w:r>
      <w:proofErr w:type="spellStart"/>
      <w:r w:rsidRPr="00C976EC">
        <w:rPr>
          <w:rFonts w:ascii="Garamond" w:eastAsia="Times New Roman" w:hAnsi="Garamond" w:cs="Segoe UI"/>
          <w:color w:val="3A3A3A"/>
          <w:sz w:val="28"/>
          <w:szCs w:val="28"/>
          <w:lang w:val="fr-FR" w:eastAsia="fr-FR"/>
        </w:rPr>
        <w:t>Yesira</w:t>
      </w:r>
      <w:proofErr w:type="spellEnd"/>
      <w:r w:rsidRPr="00C976EC">
        <w:rPr>
          <w:rFonts w:ascii="Garamond" w:eastAsia="Times New Roman" w:hAnsi="Garamond" w:cs="Segoe UI"/>
          <w:color w:val="3A3A3A"/>
          <w:sz w:val="28"/>
          <w:szCs w:val="28"/>
          <w:lang w:val="fr-FR" w:eastAsia="fr-FR"/>
        </w:rPr>
        <w:t xml:space="preserve"> auront une influence considérable sur l’évolution de la kabbale.</w:t>
      </w:r>
    </w:p>
    <w:p w:rsidR="00C976EC" w:rsidRPr="00C976EC" w:rsidRDefault="00C976EC" w:rsidP="00005877">
      <w:pPr>
        <w:spacing w:after="0" w:line="288" w:lineRule="atLeast"/>
        <w:jc w:val="both"/>
        <w:outlineLvl w:val="1"/>
        <w:rPr>
          <w:rFonts w:ascii="Garamond" w:eastAsia="Times New Roman" w:hAnsi="Garamond" w:cs="Segoe UI"/>
          <w:b/>
          <w:bCs/>
          <w:color w:val="3A3A3A"/>
          <w:sz w:val="28"/>
          <w:szCs w:val="28"/>
          <w:lang w:val="fr-FR" w:eastAsia="fr-FR"/>
        </w:rPr>
      </w:pPr>
      <w:r w:rsidRPr="00C976EC">
        <w:rPr>
          <w:rFonts w:ascii="Garamond" w:eastAsia="Times New Roman" w:hAnsi="Garamond" w:cs="Segoe UI"/>
          <w:b/>
          <w:bCs/>
          <w:color w:val="3A3A3A"/>
          <w:sz w:val="28"/>
          <w:szCs w:val="28"/>
          <w:bdr w:val="none" w:sz="0" w:space="0" w:color="auto" w:frame="1"/>
          <w:lang w:val="fr-FR" w:eastAsia="fr-FR"/>
        </w:rPr>
        <w:t>Du XIIe siècle à 1492</w:t>
      </w:r>
    </w:p>
    <w:p w:rsidR="00C976EC" w:rsidRPr="00C976EC" w:rsidRDefault="00C976EC" w:rsidP="00005877">
      <w:pPr>
        <w:spacing w:after="0" w:line="288" w:lineRule="atLeast"/>
        <w:jc w:val="both"/>
        <w:outlineLvl w:val="2"/>
        <w:rPr>
          <w:rFonts w:ascii="Garamond" w:eastAsia="Times New Roman" w:hAnsi="Garamond" w:cs="Segoe UI"/>
          <w:b/>
          <w:bCs/>
          <w:color w:val="3A3A3A"/>
          <w:sz w:val="28"/>
          <w:szCs w:val="28"/>
          <w:lang w:val="fr-FR" w:eastAsia="fr-FR"/>
        </w:rPr>
      </w:pPr>
      <w:r w:rsidRPr="00C976EC">
        <w:rPr>
          <w:rFonts w:ascii="Garamond" w:eastAsia="Times New Roman" w:hAnsi="Garamond" w:cs="Segoe UI"/>
          <w:b/>
          <w:bCs/>
          <w:i/>
          <w:iCs/>
          <w:color w:val="3A3A3A"/>
          <w:sz w:val="28"/>
          <w:szCs w:val="28"/>
          <w:bdr w:val="none" w:sz="0" w:space="0" w:color="auto" w:frame="1"/>
          <w:lang w:val="fr-FR" w:eastAsia="fr-FR"/>
        </w:rPr>
        <w:t>Le «Sefer ha-</w:t>
      </w:r>
      <w:proofErr w:type="spellStart"/>
      <w:r w:rsidRPr="00C976EC">
        <w:rPr>
          <w:rFonts w:ascii="Garamond" w:eastAsia="Times New Roman" w:hAnsi="Garamond" w:cs="Segoe UI"/>
          <w:b/>
          <w:bCs/>
          <w:i/>
          <w:iCs/>
          <w:color w:val="3A3A3A"/>
          <w:sz w:val="28"/>
          <w:szCs w:val="28"/>
          <w:bdr w:val="none" w:sz="0" w:space="0" w:color="auto" w:frame="1"/>
          <w:lang w:val="fr-FR" w:eastAsia="fr-FR"/>
        </w:rPr>
        <w:t>bahir</w:t>
      </w:r>
      <w:proofErr w:type="spellEnd"/>
      <w:r w:rsidRPr="00C976EC">
        <w:rPr>
          <w:rFonts w:ascii="Garamond" w:eastAsia="Times New Roman" w:hAnsi="Garamond" w:cs="Segoe UI"/>
          <w:b/>
          <w:bCs/>
          <w:i/>
          <w:iCs/>
          <w:color w:val="3A3A3A"/>
          <w:sz w:val="28"/>
          <w:szCs w:val="28"/>
          <w:bdr w:val="none" w:sz="0" w:space="0" w:color="auto" w:frame="1"/>
          <w:lang w:val="fr-FR" w:eastAsia="fr-FR"/>
        </w:rPr>
        <w:t>»</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 xml:space="preserve">Après un très long silence dans la série des témoignages parvenus jusqu’à nous, une recrudescence des spéculations ésotériques apparaît au XIIe siècle, en Europe cette fois, dans plusieurs centres, dont chacun est le foyer d’un courant particulier. </w:t>
      </w:r>
      <w:r w:rsidR="00636065">
        <w:rPr>
          <w:rFonts w:ascii="Garamond" w:eastAsia="Times New Roman" w:hAnsi="Garamond" w:cs="Segoe UI"/>
          <w:color w:val="3A3A3A"/>
          <w:sz w:val="28"/>
          <w:szCs w:val="28"/>
          <w:lang w:val="fr-FR" w:eastAsia="fr-FR"/>
        </w:rPr>
        <w:t>L</w:t>
      </w:r>
      <w:r w:rsidRPr="00C976EC">
        <w:rPr>
          <w:rFonts w:ascii="Garamond" w:eastAsia="Times New Roman" w:hAnsi="Garamond" w:cs="Segoe UI"/>
          <w:color w:val="3A3A3A"/>
          <w:sz w:val="28"/>
          <w:szCs w:val="28"/>
          <w:lang w:val="fr-FR" w:eastAsia="fr-FR"/>
        </w:rPr>
        <w:t>’un des documents les plus importants pour l’évolution de la mystique, et celui dont le transfert en Europe semble être à l’origine du renouveau doctrinal, est le Sefer ha-</w:t>
      </w:r>
      <w:proofErr w:type="spellStart"/>
      <w:r w:rsidRPr="00C976EC">
        <w:rPr>
          <w:rFonts w:ascii="Garamond" w:eastAsia="Times New Roman" w:hAnsi="Garamond" w:cs="Segoe UI"/>
          <w:color w:val="3A3A3A"/>
          <w:sz w:val="28"/>
          <w:szCs w:val="28"/>
          <w:lang w:val="fr-FR" w:eastAsia="fr-FR"/>
        </w:rPr>
        <w:t>bahir</w:t>
      </w:r>
      <w:proofErr w:type="spellEnd"/>
      <w:r w:rsidRPr="00C976EC">
        <w:rPr>
          <w:rFonts w:ascii="Garamond" w:eastAsia="Times New Roman" w:hAnsi="Garamond" w:cs="Segoe UI"/>
          <w:color w:val="3A3A3A"/>
          <w:sz w:val="28"/>
          <w:szCs w:val="28"/>
          <w:lang w:val="fr-FR" w:eastAsia="fr-FR"/>
        </w:rPr>
        <w:t xml:space="preserve"> ; il est constitué d’un</w:t>
      </w:r>
      <w:r w:rsidR="00636065">
        <w:rPr>
          <w:rFonts w:ascii="Garamond" w:eastAsia="Times New Roman" w:hAnsi="Garamond" w:cs="Segoe UI"/>
          <w:color w:val="3A3A3A"/>
          <w:sz w:val="28"/>
          <w:szCs w:val="28"/>
          <w:lang w:val="fr-FR" w:eastAsia="fr-FR"/>
        </w:rPr>
        <w:t>e</w:t>
      </w:r>
      <w:r w:rsidRPr="00C976EC">
        <w:rPr>
          <w:rFonts w:ascii="Garamond" w:eastAsia="Times New Roman" w:hAnsi="Garamond" w:cs="Segoe UI"/>
          <w:color w:val="3A3A3A"/>
          <w:sz w:val="28"/>
          <w:szCs w:val="28"/>
          <w:lang w:val="fr-FR" w:eastAsia="fr-FR"/>
        </w:rPr>
        <w:t xml:space="preserve"> </w:t>
      </w:r>
      <w:r w:rsidR="00636065">
        <w:rPr>
          <w:rFonts w:ascii="Garamond" w:eastAsia="Times New Roman" w:hAnsi="Garamond" w:cs="Segoe UI"/>
          <w:color w:val="3A3A3A"/>
          <w:sz w:val="28"/>
          <w:szCs w:val="28"/>
          <w:lang w:val="fr-FR" w:eastAsia="fr-FR"/>
        </w:rPr>
        <w:t>accumulation</w:t>
      </w:r>
      <w:r w:rsidRPr="00C976EC">
        <w:rPr>
          <w:rFonts w:ascii="Garamond" w:eastAsia="Times New Roman" w:hAnsi="Garamond" w:cs="Segoe UI"/>
          <w:color w:val="3A3A3A"/>
          <w:sz w:val="28"/>
          <w:szCs w:val="28"/>
          <w:lang w:val="fr-FR" w:eastAsia="fr-FR"/>
        </w:rPr>
        <w:t xml:space="preserve"> de matériaux provenant d’époques et de sources diverses, dont les premières couches semblent provenir d’Orient et dont la dernière, contemporaine de la rédaction définitive, contient </w:t>
      </w:r>
      <w:r w:rsidRPr="00C976EC">
        <w:rPr>
          <w:rFonts w:ascii="Garamond" w:eastAsia="Times New Roman" w:hAnsi="Garamond" w:cs="Segoe UI"/>
          <w:color w:val="3A3A3A"/>
          <w:sz w:val="28"/>
          <w:szCs w:val="28"/>
          <w:lang w:val="fr-FR" w:eastAsia="fr-FR"/>
        </w:rPr>
        <w:lastRenderedPageBreak/>
        <w:t xml:space="preserve">des éléments empruntés à la philosophie néo-platonicienne juive du XIIe siècle (Abraham bar </w:t>
      </w:r>
      <w:proofErr w:type="spellStart"/>
      <w:r w:rsidRPr="00C976EC">
        <w:rPr>
          <w:rFonts w:ascii="Garamond" w:eastAsia="Times New Roman" w:hAnsi="Garamond" w:cs="Segoe UI"/>
          <w:color w:val="3A3A3A"/>
          <w:sz w:val="28"/>
          <w:szCs w:val="28"/>
          <w:lang w:val="fr-FR" w:eastAsia="fr-FR"/>
        </w:rPr>
        <w:t>Hiyya</w:t>
      </w:r>
      <w:proofErr w:type="spellEnd"/>
      <w:r w:rsidRPr="00C976EC">
        <w:rPr>
          <w:rFonts w:ascii="Garamond" w:eastAsia="Times New Roman" w:hAnsi="Garamond" w:cs="Segoe UI"/>
          <w:color w:val="3A3A3A"/>
          <w:sz w:val="28"/>
          <w:szCs w:val="28"/>
          <w:lang w:val="fr-FR" w:eastAsia="fr-FR"/>
        </w:rPr>
        <w:t xml:space="preserve">, par exemple). Sous la forme d’une exégèse mystique allégorisante, attribuée à des autorités rabbiniques du IIe siècle (surtout </w:t>
      </w:r>
      <w:proofErr w:type="spellStart"/>
      <w:r w:rsidRPr="00C976EC">
        <w:rPr>
          <w:rFonts w:ascii="Garamond" w:eastAsia="Times New Roman" w:hAnsi="Garamond" w:cs="Segoe UI"/>
          <w:color w:val="3A3A3A"/>
          <w:sz w:val="28"/>
          <w:szCs w:val="28"/>
          <w:lang w:val="fr-FR" w:eastAsia="fr-FR"/>
        </w:rPr>
        <w:t>Nehunya</w:t>
      </w:r>
      <w:proofErr w:type="spellEnd"/>
      <w:r w:rsidRPr="00C976EC">
        <w:rPr>
          <w:rFonts w:ascii="Garamond" w:eastAsia="Times New Roman" w:hAnsi="Garamond" w:cs="Segoe UI"/>
          <w:color w:val="3A3A3A"/>
          <w:sz w:val="28"/>
          <w:szCs w:val="28"/>
          <w:lang w:val="fr-FR" w:eastAsia="fr-FR"/>
        </w:rPr>
        <w:t xml:space="preserve"> ben </w:t>
      </w:r>
      <w:proofErr w:type="spellStart"/>
      <w:r w:rsidRPr="00C976EC">
        <w:rPr>
          <w:rFonts w:ascii="Garamond" w:eastAsia="Times New Roman" w:hAnsi="Garamond" w:cs="Segoe UI"/>
          <w:color w:val="3A3A3A"/>
          <w:sz w:val="28"/>
          <w:szCs w:val="28"/>
          <w:lang w:val="fr-FR" w:eastAsia="fr-FR"/>
        </w:rPr>
        <w:t>Haqana</w:t>
      </w:r>
      <w:proofErr w:type="spellEnd"/>
      <w:r w:rsidRPr="00C976EC">
        <w:rPr>
          <w:rFonts w:ascii="Garamond" w:eastAsia="Times New Roman" w:hAnsi="Garamond" w:cs="Segoe UI"/>
          <w:color w:val="3A3A3A"/>
          <w:sz w:val="28"/>
          <w:szCs w:val="28"/>
          <w:lang w:val="fr-FR" w:eastAsia="fr-FR"/>
        </w:rPr>
        <w:t>), le Sefer ha-</w:t>
      </w:r>
      <w:proofErr w:type="spellStart"/>
      <w:r w:rsidRPr="00C976EC">
        <w:rPr>
          <w:rFonts w:ascii="Garamond" w:eastAsia="Times New Roman" w:hAnsi="Garamond" w:cs="Segoe UI"/>
          <w:color w:val="3A3A3A"/>
          <w:sz w:val="28"/>
          <w:szCs w:val="28"/>
          <w:lang w:val="fr-FR" w:eastAsia="fr-FR"/>
        </w:rPr>
        <w:t>bahir</w:t>
      </w:r>
      <w:proofErr w:type="spellEnd"/>
      <w:r w:rsidRPr="00C976EC">
        <w:rPr>
          <w:rFonts w:ascii="Garamond" w:eastAsia="Times New Roman" w:hAnsi="Garamond" w:cs="Segoe UI"/>
          <w:color w:val="3A3A3A"/>
          <w:sz w:val="28"/>
          <w:szCs w:val="28"/>
          <w:lang w:val="fr-FR" w:eastAsia="fr-FR"/>
        </w:rPr>
        <w:t xml:space="preserve"> développe une conception gnostique de l’univers. Les sefirot du Sefer </w:t>
      </w:r>
      <w:proofErr w:type="spellStart"/>
      <w:r w:rsidRPr="00C976EC">
        <w:rPr>
          <w:rFonts w:ascii="Garamond" w:eastAsia="Times New Roman" w:hAnsi="Garamond" w:cs="Segoe UI"/>
          <w:color w:val="3A3A3A"/>
          <w:sz w:val="28"/>
          <w:szCs w:val="28"/>
          <w:lang w:val="fr-FR" w:eastAsia="fr-FR"/>
        </w:rPr>
        <w:t>Yesira</w:t>
      </w:r>
      <w:proofErr w:type="spellEnd"/>
      <w:r w:rsidRPr="00C976EC">
        <w:rPr>
          <w:rFonts w:ascii="Garamond" w:eastAsia="Times New Roman" w:hAnsi="Garamond" w:cs="Segoe UI"/>
          <w:color w:val="3A3A3A"/>
          <w:sz w:val="28"/>
          <w:szCs w:val="28"/>
          <w:lang w:val="fr-FR" w:eastAsia="fr-FR"/>
        </w:rPr>
        <w:t xml:space="preserve">, transformées en éons du plérome divin, réapparaissent revêtues d’une nomenclature symbolique empruntée au vocabulaire des écrits gnostiques, à la littérature des </w:t>
      </w:r>
      <w:proofErr w:type="spellStart"/>
      <w:r w:rsidRPr="00C976EC">
        <w:rPr>
          <w:rFonts w:ascii="Garamond" w:eastAsia="Times New Roman" w:hAnsi="Garamond" w:cs="Segoe UI"/>
          <w:color w:val="3A3A3A"/>
          <w:sz w:val="28"/>
          <w:szCs w:val="28"/>
          <w:lang w:val="fr-FR" w:eastAsia="fr-FR"/>
        </w:rPr>
        <w:t>Heykhalot</w:t>
      </w:r>
      <w:proofErr w:type="spellEnd"/>
      <w:r w:rsidRPr="00C976EC">
        <w:rPr>
          <w:rFonts w:ascii="Garamond" w:eastAsia="Times New Roman" w:hAnsi="Garamond" w:cs="Segoe UI"/>
          <w:color w:val="3A3A3A"/>
          <w:sz w:val="28"/>
          <w:szCs w:val="28"/>
          <w:lang w:val="fr-FR" w:eastAsia="fr-FR"/>
        </w:rPr>
        <w:t xml:space="preserve"> ou à la Bible même. L’influence des concepts gnostiques se reflète dans la symbolique de l’arbre cosmique, lieu d’origine des âmes, dans celle de la Sagesse hypostasiée, et surtout dans l’introduction, à l’intérieur du monde divin, d’un élément féminin, la Présence (</w:t>
      </w:r>
      <w:proofErr w:type="spellStart"/>
      <w:r w:rsidRPr="00C976EC">
        <w:rPr>
          <w:rFonts w:ascii="Garamond" w:eastAsia="Times New Roman" w:hAnsi="Garamond" w:cs="Segoe UI"/>
          <w:color w:val="3A3A3A"/>
          <w:sz w:val="28"/>
          <w:szCs w:val="28"/>
          <w:lang w:val="fr-FR" w:eastAsia="fr-FR"/>
        </w:rPr>
        <w:t>Shekina</w:t>
      </w:r>
      <w:proofErr w:type="spellEnd"/>
      <w:r w:rsidRPr="00C976EC">
        <w:rPr>
          <w:rFonts w:ascii="Garamond" w:eastAsia="Times New Roman" w:hAnsi="Garamond" w:cs="Segoe UI"/>
          <w:color w:val="3A3A3A"/>
          <w:sz w:val="28"/>
          <w:szCs w:val="28"/>
          <w:lang w:val="fr-FR" w:eastAsia="fr-FR"/>
        </w:rPr>
        <w:t>). Cette dernière entité, d’un symbolisme particulièrement riche, est à la fois l’aboutissement, la « mer » ou le</w:t>
      </w:r>
      <w:r w:rsidR="00FB0C2F" w:rsidRPr="00C976EC">
        <w:rPr>
          <w:rFonts w:ascii="Garamond" w:eastAsia="Times New Roman" w:hAnsi="Garamond" w:cs="Segoe UI"/>
          <w:color w:val="3A3A3A"/>
          <w:sz w:val="28"/>
          <w:szCs w:val="28"/>
          <w:lang w:val="fr-FR" w:eastAsia="fr-FR"/>
        </w:rPr>
        <w:t xml:space="preserve"> « réservoir</w:t>
      </w:r>
      <w:r w:rsidRPr="00C976EC">
        <w:rPr>
          <w:rFonts w:ascii="Garamond" w:eastAsia="Times New Roman" w:hAnsi="Garamond" w:cs="Segoe UI"/>
          <w:color w:val="3A3A3A"/>
          <w:sz w:val="28"/>
          <w:szCs w:val="28"/>
          <w:lang w:val="fr-FR" w:eastAsia="fr-FR"/>
        </w:rPr>
        <w:t>» des influences qui s’épanchent à partir des attributs supérieurs, le principe préposé au gouvernement du monde extradivin, et la communauté d’Israël hypostasiée. Sous ce dernier aspect, elle opère la jonction entre les mondes divin et terrestre et ouvre l’accès, pour ceux qui font partie de ce corps mystique, à une participation effective à l’économie des énergies cosmiques.</w:t>
      </w:r>
    </w:p>
    <w:p w:rsidR="00C976EC" w:rsidRPr="00C976EC" w:rsidRDefault="00C976EC" w:rsidP="00005877">
      <w:pPr>
        <w:spacing w:after="300" w:line="288" w:lineRule="atLeast"/>
        <w:jc w:val="both"/>
        <w:outlineLvl w:val="2"/>
        <w:rPr>
          <w:rFonts w:ascii="Garamond" w:eastAsia="Times New Roman" w:hAnsi="Garamond" w:cs="Segoe UI"/>
          <w:b/>
          <w:bCs/>
          <w:color w:val="3A3A3A"/>
          <w:sz w:val="28"/>
          <w:szCs w:val="28"/>
          <w:lang w:val="fr-FR" w:eastAsia="fr-FR"/>
        </w:rPr>
      </w:pPr>
      <w:r w:rsidRPr="00C976EC">
        <w:rPr>
          <w:rFonts w:ascii="Garamond" w:eastAsia="Times New Roman" w:hAnsi="Garamond" w:cs="Segoe UI"/>
          <w:b/>
          <w:bCs/>
          <w:color w:val="3A3A3A"/>
          <w:sz w:val="28"/>
          <w:szCs w:val="28"/>
          <w:lang w:val="fr-FR" w:eastAsia="fr-FR"/>
        </w:rPr>
        <w:t>Le mouvement des hassidim d’Allemagne</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Les spéculations du Sefer ha-</w:t>
      </w:r>
      <w:proofErr w:type="spellStart"/>
      <w:r w:rsidRPr="00C976EC">
        <w:rPr>
          <w:rFonts w:ascii="Garamond" w:eastAsia="Times New Roman" w:hAnsi="Garamond" w:cs="Segoe UI"/>
          <w:color w:val="3A3A3A"/>
          <w:sz w:val="28"/>
          <w:szCs w:val="28"/>
          <w:lang w:val="fr-FR" w:eastAsia="fr-FR"/>
        </w:rPr>
        <w:t>bahir</w:t>
      </w:r>
      <w:proofErr w:type="spellEnd"/>
      <w:r w:rsidRPr="00C976EC">
        <w:rPr>
          <w:rFonts w:ascii="Garamond" w:eastAsia="Times New Roman" w:hAnsi="Garamond" w:cs="Segoe UI"/>
          <w:color w:val="3A3A3A"/>
          <w:sz w:val="28"/>
          <w:szCs w:val="28"/>
          <w:lang w:val="fr-FR" w:eastAsia="fr-FR"/>
        </w:rPr>
        <w:t xml:space="preserve"> atteignirent d’abord les communautés rhénanes, où le livre fut connu par l’intermédiaire d’un membre de la famille des </w:t>
      </w:r>
      <w:proofErr w:type="spellStart"/>
      <w:r w:rsidRPr="00C976EC">
        <w:rPr>
          <w:rFonts w:ascii="Garamond" w:eastAsia="Times New Roman" w:hAnsi="Garamond" w:cs="Segoe UI"/>
          <w:color w:val="3A3A3A"/>
          <w:sz w:val="28"/>
          <w:szCs w:val="28"/>
          <w:lang w:val="fr-FR" w:eastAsia="fr-FR"/>
        </w:rPr>
        <w:t>Kalonymides</w:t>
      </w:r>
      <w:proofErr w:type="spellEnd"/>
      <w:r w:rsidRPr="00C976EC">
        <w:rPr>
          <w:rFonts w:ascii="Garamond" w:eastAsia="Times New Roman" w:hAnsi="Garamond" w:cs="Segoe UI"/>
          <w:color w:val="3A3A3A"/>
          <w:sz w:val="28"/>
          <w:szCs w:val="28"/>
          <w:lang w:val="fr-FR" w:eastAsia="fr-FR"/>
        </w:rPr>
        <w:t xml:space="preserve">. </w:t>
      </w:r>
      <w:r w:rsidRPr="00C976EC">
        <w:rPr>
          <w:rFonts w:ascii="Garamond" w:eastAsia="Times New Roman" w:hAnsi="Garamond" w:cs="Segoe UI"/>
          <w:color w:val="3A3A3A"/>
          <w:sz w:val="28"/>
          <w:szCs w:val="28"/>
          <w:lang w:val="fr-FR" w:eastAsia="fr-FR"/>
        </w:rPr>
        <w:lastRenderedPageBreak/>
        <w:t>La condition pénible des Juifs d’Allemagne pendant les croisades a contribué à préparer dans ce pays un terrain propice à l’éclosion d’un courant mystique intimement lié à la vie du peuple et qui, malgré la courte durée de sa période créatrice (1150-1250 env.), a exercé une influence durable sur l’évolution du judaïsme d’Allemagne.</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 xml:space="preserve">Le mouvement des hassidim est lié au nom des </w:t>
      </w:r>
      <w:proofErr w:type="spellStart"/>
      <w:r w:rsidRPr="00C976EC">
        <w:rPr>
          <w:rFonts w:ascii="Garamond" w:eastAsia="Times New Roman" w:hAnsi="Garamond" w:cs="Segoe UI"/>
          <w:color w:val="3A3A3A"/>
          <w:sz w:val="28"/>
          <w:szCs w:val="28"/>
          <w:lang w:val="fr-FR" w:eastAsia="fr-FR"/>
        </w:rPr>
        <w:t>Kalonymides</w:t>
      </w:r>
      <w:proofErr w:type="spellEnd"/>
      <w:r w:rsidRPr="00C976EC">
        <w:rPr>
          <w:rFonts w:ascii="Garamond" w:eastAsia="Times New Roman" w:hAnsi="Garamond" w:cs="Segoe UI"/>
          <w:color w:val="3A3A3A"/>
          <w:sz w:val="28"/>
          <w:szCs w:val="28"/>
          <w:lang w:val="fr-FR" w:eastAsia="fr-FR"/>
        </w:rPr>
        <w:t xml:space="preserve">, famille originaire d’Italie et dont les membres ont donné pendant plusieurs siècles des chefs spirituels aux communautés de Spire, de Worms et de Mayence. Les trois personnalités qui ont créé le mouvement sont Samuel, fils de </w:t>
      </w:r>
      <w:proofErr w:type="spellStart"/>
      <w:r w:rsidRPr="00C976EC">
        <w:rPr>
          <w:rFonts w:ascii="Garamond" w:eastAsia="Times New Roman" w:hAnsi="Garamond" w:cs="Segoe UI"/>
          <w:color w:val="3A3A3A"/>
          <w:sz w:val="28"/>
          <w:szCs w:val="28"/>
          <w:lang w:val="fr-FR" w:eastAsia="fr-FR"/>
        </w:rPr>
        <w:t>Kalonymos</w:t>
      </w:r>
      <w:proofErr w:type="spellEnd"/>
      <w:r w:rsidRPr="00C976EC">
        <w:rPr>
          <w:rFonts w:ascii="Garamond" w:eastAsia="Times New Roman" w:hAnsi="Garamond" w:cs="Segoe UI"/>
          <w:color w:val="3A3A3A"/>
          <w:sz w:val="28"/>
          <w:szCs w:val="28"/>
          <w:lang w:val="fr-FR" w:eastAsia="fr-FR"/>
        </w:rPr>
        <w:t xml:space="preserve"> (milieu du XIIe s.), son fils Juda le Hassid (mort en 1217), et le disciple de ce dernier, Éléazar de Worms (mort env. 1230). Les écrits de Samuel ont été en partie </w:t>
      </w:r>
      <w:r w:rsidR="003F33A1" w:rsidRPr="00C976EC">
        <w:rPr>
          <w:rFonts w:ascii="Garamond" w:eastAsia="Times New Roman" w:hAnsi="Garamond" w:cs="Segoe UI"/>
          <w:color w:val="3A3A3A"/>
          <w:sz w:val="28"/>
          <w:szCs w:val="28"/>
          <w:lang w:val="fr-FR" w:eastAsia="fr-FR"/>
        </w:rPr>
        <w:t>conservés ;</w:t>
      </w:r>
      <w:r w:rsidRPr="00C976EC">
        <w:rPr>
          <w:rFonts w:ascii="Garamond" w:eastAsia="Times New Roman" w:hAnsi="Garamond" w:cs="Segoe UI"/>
          <w:color w:val="3A3A3A"/>
          <w:sz w:val="28"/>
          <w:szCs w:val="28"/>
          <w:lang w:val="fr-FR" w:eastAsia="fr-FR"/>
        </w:rPr>
        <w:t xml:space="preserve"> ceux de Juda sont connus seulement sous la forme transmise par ses disciples. Éléazar de Worms a laissé une œuvre considérable, véritable dépôt de l’enseignement hassidique (Sefer ha-</w:t>
      </w:r>
      <w:proofErr w:type="spellStart"/>
      <w:r w:rsidRPr="00C976EC">
        <w:rPr>
          <w:rFonts w:ascii="Garamond" w:eastAsia="Times New Roman" w:hAnsi="Garamond" w:cs="Segoe UI"/>
          <w:color w:val="3A3A3A"/>
          <w:sz w:val="28"/>
          <w:szCs w:val="28"/>
          <w:lang w:val="fr-FR" w:eastAsia="fr-FR"/>
        </w:rPr>
        <w:t>rokeah</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Hokmat</w:t>
      </w:r>
      <w:proofErr w:type="spellEnd"/>
      <w:r w:rsidRPr="00C976EC">
        <w:rPr>
          <w:rFonts w:ascii="Garamond" w:eastAsia="Times New Roman" w:hAnsi="Garamond" w:cs="Segoe UI"/>
          <w:color w:val="3A3A3A"/>
          <w:sz w:val="28"/>
          <w:szCs w:val="28"/>
          <w:lang w:val="fr-FR" w:eastAsia="fr-FR"/>
        </w:rPr>
        <w:t xml:space="preserve"> ha-</w:t>
      </w:r>
      <w:proofErr w:type="spellStart"/>
      <w:r w:rsidRPr="00C976EC">
        <w:rPr>
          <w:rFonts w:ascii="Garamond" w:eastAsia="Times New Roman" w:hAnsi="Garamond" w:cs="Segoe UI"/>
          <w:color w:val="3A3A3A"/>
          <w:sz w:val="28"/>
          <w:szCs w:val="28"/>
          <w:lang w:val="fr-FR" w:eastAsia="fr-FR"/>
        </w:rPr>
        <w:t>nefesh</w:t>
      </w:r>
      <w:proofErr w:type="spellEnd"/>
      <w:r w:rsidRPr="00C976EC">
        <w:rPr>
          <w:rFonts w:ascii="Garamond" w:eastAsia="Times New Roman" w:hAnsi="Garamond" w:cs="Segoe UI"/>
          <w:color w:val="3A3A3A"/>
          <w:sz w:val="28"/>
          <w:szCs w:val="28"/>
          <w:lang w:val="fr-FR" w:eastAsia="fr-FR"/>
        </w:rPr>
        <w:t>, écrits sur la prophétie, l’angélologie, commentaire sur la liturgie, etc.). Le témoin le plus important de ce courant est le Sefer hassidim, compilation de directives spirituelles qui reflète l’enseignement des trois fondateurs.</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 xml:space="preserve">L’éventail des thèmes y est bien plus large que dans la mystique des premières périodes. En plus de sujets relevant de la théosophie, et de la psychologie qui s’y rattache, les méditations sur les commandements et l’interprétation théologique de l’histoire font pénétrer les concepts </w:t>
      </w:r>
      <w:r w:rsidRPr="00C976EC">
        <w:rPr>
          <w:rFonts w:ascii="Garamond" w:eastAsia="Times New Roman" w:hAnsi="Garamond" w:cs="Segoe UI"/>
          <w:color w:val="3A3A3A"/>
          <w:sz w:val="28"/>
          <w:szCs w:val="28"/>
          <w:lang w:val="fr-FR" w:eastAsia="fr-FR"/>
        </w:rPr>
        <w:lastRenderedPageBreak/>
        <w:t xml:space="preserve">mystiques dans l’existence quotidienne. Les méditations du hassid portent avant tout sur l’idéal de la vie religieuse, dont la réalisation est considérée comme supérieure à toute opération intellectuelle. Cet idéal, par l’attitude de sérénité parfaite, de renoncement et d’impassibilité qu’il requiert, a bien des affinités avec l’ataraxie stoïcienne, dont l’influence s’est exercée également aux origines du monachisme chrétien. Le contact continu avec ce dernier ainsi que les tendances ascétiques inhérentes </w:t>
      </w:r>
      <w:proofErr w:type="gramStart"/>
      <w:r w:rsidRPr="00C976EC">
        <w:rPr>
          <w:rFonts w:ascii="Garamond" w:eastAsia="Times New Roman" w:hAnsi="Garamond" w:cs="Segoe UI"/>
          <w:color w:val="3A3A3A"/>
          <w:sz w:val="28"/>
          <w:szCs w:val="28"/>
          <w:lang w:val="fr-FR" w:eastAsia="fr-FR"/>
        </w:rPr>
        <w:t>au hassidisme</w:t>
      </w:r>
      <w:proofErr w:type="gramEnd"/>
      <w:r w:rsidRPr="00C976EC">
        <w:rPr>
          <w:rFonts w:ascii="Garamond" w:eastAsia="Times New Roman" w:hAnsi="Garamond" w:cs="Segoe UI"/>
          <w:color w:val="3A3A3A"/>
          <w:sz w:val="28"/>
          <w:szCs w:val="28"/>
          <w:lang w:val="fr-FR" w:eastAsia="fr-FR"/>
        </w:rPr>
        <w:t xml:space="preserve"> ont favorisé l’adoption de certaines disciplines, des pratiques pénitentielles par exemple, dont l’apparition dans le judaïsme est un fait exceptionnel. La plus importante méthode spirituelle était l’oraison méditative, fondée sur des techniques qui exploitaient les particularités de la langue hébraïque (décompte de la valeur numérique des lettres, </w:t>
      </w:r>
      <w:proofErr w:type="spellStart"/>
      <w:r w:rsidRPr="00C976EC">
        <w:rPr>
          <w:rFonts w:ascii="Garamond" w:eastAsia="Times New Roman" w:hAnsi="Garamond" w:cs="Segoe UI"/>
          <w:color w:val="3A3A3A"/>
          <w:sz w:val="28"/>
          <w:szCs w:val="28"/>
          <w:lang w:val="fr-FR" w:eastAsia="fr-FR"/>
        </w:rPr>
        <w:t>guematria</w:t>
      </w:r>
      <w:proofErr w:type="spellEnd"/>
      <w:r w:rsidRPr="00C976EC">
        <w:rPr>
          <w:rFonts w:ascii="Garamond" w:eastAsia="Times New Roman" w:hAnsi="Garamond" w:cs="Segoe UI"/>
          <w:color w:val="3A3A3A"/>
          <w:sz w:val="28"/>
          <w:szCs w:val="28"/>
          <w:lang w:val="fr-FR" w:eastAsia="fr-FR"/>
        </w:rPr>
        <w:t xml:space="preserve"> ; interprétation des lettres d’un mot comme initiales des mots d’une sentence, </w:t>
      </w:r>
      <w:proofErr w:type="spellStart"/>
      <w:r w:rsidRPr="00C976EC">
        <w:rPr>
          <w:rFonts w:ascii="Garamond" w:eastAsia="Times New Roman" w:hAnsi="Garamond" w:cs="Segoe UI"/>
          <w:color w:val="3A3A3A"/>
          <w:sz w:val="28"/>
          <w:szCs w:val="28"/>
          <w:lang w:val="fr-FR" w:eastAsia="fr-FR"/>
        </w:rPr>
        <w:t>notarikon</w:t>
      </w:r>
      <w:proofErr w:type="spellEnd"/>
      <w:r w:rsidRPr="00C976EC">
        <w:rPr>
          <w:rFonts w:ascii="Garamond" w:eastAsia="Times New Roman" w:hAnsi="Garamond" w:cs="Segoe UI"/>
          <w:color w:val="3A3A3A"/>
          <w:sz w:val="28"/>
          <w:szCs w:val="28"/>
          <w:lang w:val="fr-FR" w:eastAsia="fr-FR"/>
        </w:rPr>
        <w:t xml:space="preserve"> ; permutation des lettres, </w:t>
      </w:r>
      <w:proofErr w:type="spellStart"/>
      <w:r w:rsidRPr="00C976EC">
        <w:rPr>
          <w:rFonts w:ascii="Garamond" w:eastAsia="Times New Roman" w:hAnsi="Garamond" w:cs="Segoe UI"/>
          <w:color w:val="3A3A3A"/>
          <w:sz w:val="28"/>
          <w:szCs w:val="28"/>
          <w:lang w:val="fr-FR" w:eastAsia="fr-FR"/>
        </w:rPr>
        <w:t>temurah</w:t>
      </w:r>
      <w:proofErr w:type="spellEnd"/>
      <w:r w:rsidRPr="00C976EC">
        <w:rPr>
          <w:rFonts w:ascii="Garamond" w:eastAsia="Times New Roman" w:hAnsi="Garamond" w:cs="Segoe UI"/>
          <w:color w:val="3A3A3A"/>
          <w:sz w:val="28"/>
          <w:szCs w:val="28"/>
          <w:lang w:val="fr-FR" w:eastAsia="fr-FR"/>
        </w:rPr>
        <w:t>).</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Dans le domaine doctrinal, les spéculations centrées sur la Gloire, manifestation du Dieu inconnaissable, présentent des tendances diverses où l’on peut distinguer trois groupes principaux. Dans le cénacle de Juda le Hassid, l’apparition de la Gloire, entité créée, est considérée comme le couronnement de l’expérience spirituelle du mystique. D’autre part, un document littéraire anonyme, le Sefer ha-</w:t>
      </w:r>
      <w:proofErr w:type="spellStart"/>
      <w:r w:rsidRPr="00C976EC">
        <w:rPr>
          <w:rFonts w:ascii="Garamond" w:eastAsia="Times New Roman" w:hAnsi="Garamond" w:cs="Segoe UI"/>
          <w:color w:val="3A3A3A"/>
          <w:sz w:val="28"/>
          <w:szCs w:val="28"/>
          <w:lang w:val="fr-FR" w:eastAsia="fr-FR"/>
        </w:rPr>
        <w:t>hayyim</w:t>
      </w:r>
      <w:proofErr w:type="spellEnd"/>
      <w:r w:rsidRPr="00C976EC">
        <w:rPr>
          <w:rFonts w:ascii="Garamond" w:eastAsia="Times New Roman" w:hAnsi="Garamond" w:cs="Segoe UI"/>
          <w:color w:val="3A3A3A"/>
          <w:sz w:val="28"/>
          <w:szCs w:val="28"/>
          <w:lang w:val="fr-FR" w:eastAsia="fr-FR"/>
        </w:rPr>
        <w:t xml:space="preserve">, dont la conception </w:t>
      </w:r>
      <w:proofErr w:type="spellStart"/>
      <w:r w:rsidRPr="00C976EC">
        <w:rPr>
          <w:rFonts w:ascii="Garamond" w:eastAsia="Times New Roman" w:hAnsi="Garamond" w:cs="Segoe UI"/>
          <w:color w:val="3A3A3A"/>
          <w:sz w:val="28"/>
          <w:szCs w:val="28"/>
          <w:lang w:val="fr-FR" w:eastAsia="fr-FR"/>
        </w:rPr>
        <w:t>émanatiste</w:t>
      </w:r>
      <w:proofErr w:type="spellEnd"/>
      <w:r w:rsidRPr="00C976EC">
        <w:rPr>
          <w:rFonts w:ascii="Garamond" w:eastAsia="Times New Roman" w:hAnsi="Garamond" w:cs="Segoe UI"/>
          <w:color w:val="3A3A3A"/>
          <w:sz w:val="28"/>
          <w:szCs w:val="28"/>
          <w:lang w:val="fr-FR" w:eastAsia="fr-FR"/>
        </w:rPr>
        <w:t xml:space="preserve"> révèle des influences néo-platoniciennes et des affinités avec la kabbale d’Espagne, attribue à la Gloire une fonction cosmologique. </w:t>
      </w:r>
      <w:r w:rsidRPr="00C976EC">
        <w:rPr>
          <w:rFonts w:ascii="Garamond" w:eastAsia="Times New Roman" w:hAnsi="Garamond" w:cs="Segoe UI"/>
          <w:color w:val="3A3A3A"/>
          <w:sz w:val="28"/>
          <w:szCs w:val="28"/>
          <w:lang w:val="fr-FR" w:eastAsia="fr-FR"/>
        </w:rPr>
        <w:lastRenderedPageBreak/>
        <w:t xml:space="preserve">Enfin, selon l’école du « Chérubin particulier», dont le texte de base est l’anonyme </w:t>
      </w:r>
      <w:proofErr w:type="spellStart"/>
      <w:r w:rsidRPr="00C976EC">
        <w:rPr>
          <w:rFonts w:ascii="Garamond" w:eastAsia="Times New Roman" w:hAnsi="Garamond" w:cs="Segoe UI"/>
          <w:color w:val="3A3A3A"/>
          <w:sz w:val="28"/>
          <w:szCs w:val="28"/>
          <w:lang w:val="fr-FR" w:eastAsia="fr-FR"/>
        </w:rPr>
        <w:t>Berayta</w:t>
      </w:r>
      <w:proofErr w:type="spellEnd"/>
      <w:r w:rsidRPr="00C976EC">
        <w:rPr>
          <w:rFonts w:ascii="Garamond" w:eastAsia="Times New Roman" w:hAnsi="Garamond" w:cs="Segoe UI"/>
          <w:color w:val="3A3A3A"/>
          <w:sz w:val="28"/>
          <w:szCs w:val="28"/>
          <w:lang w:val="fr-FR" w:eastAsia="fr-FR"/>
        </w:rPr>
        <w:t xml:space="preserve"> de </w:t>
      </w:r>
      <w:proofErr w:type="spellStart"/>
      <w:r w:rsidRPr="00C976EC">
        <w:rPr>
          <w:rFonts w:ascii="Garamond" w:eastAsia="Times New Roman" w:hAnsi="Garamond" w:cs="Segoe UI"/>
          <w:color w:val="3A3A3A"/>
          <w:sz w:val="28"/>
          <w:szCs w:val="28"/>
          <w:lang w:val="fr-FR" w:eastAsia="fr-FR"/>
        </w:rPr>
        <w:t>Yosef</w:t>
      </w:r>
      <w:proofErr w:type="spellEnd"/>
      <w:r w:rsidRPr="00C976EC">
        <w:rPr>
          <w:rFonts w:ascii="Garamond" w:eastAsia="Times New Roman" w:hAnsi="Garamond" w:cs="Segoe UI"/>
          <w:color w:val="3A3A3A"/>
          <w:sz w:val="28"/>
          <w:szCs w:val="28"/>
          <w:lang w:val="fr-FR" w:eastAsia="fr-FR"/>
        </w:rPr>
        <w:t xml:space="preserve"> ben </w:t>
      </w:r>
      <w:proofErr w:type="spellStart"/>
      <w:r w:rsidRPr="00C976EC">
        <w:rPr>
          <w:rFonts w:ascii="Garamond" w:eastAsia="Times New Roman" w:hAnsi="Garamond" w:cs="Segoe UI"/>
          <w:color w:val="3A3A3A"/>
          <w:sz w:val="28"/>
          <w:szCs w:val="28"/>
          <w:lang w:val="fr-FR" w:eastAsia="fr-FR"/>
        </w:rPr>
        <w:t>Uzziel</w:t>
      </w:r>
      <w:proofErr w:type="spellEnd"/>
      <w:r w:rsidRPr="00C976EC">
        <w:rPr>
          <w:rFonts w:ascii="Garamond" w:eastAsia="Times New Roman" w:hAnsi="Garamond" w:cs="Segoe UI"/>
          <w:color w:val="3A3A3A"/>
          <w:sz w:val="28"/>
          <w:szCs w:val="28"/>
          <w:lang w:val="fr-FR" w:eastAsia="fr-FR"/>
        </w:rPr>
        <w:t xml:space="preserve">, le «Chérubin saint» est la manifestation du Dieu inconnaissable et l’objet de tout anthropomorphisme scripturaire. La doctrine cosmologique des hassidim se fonde sur l’enseignement des </w:t>
      </w:r>
      <w:proofErr w:type="spellStart"/>
      <w:r w:rsidRPr="00C976EC">
        <w:rPr>
          <w:rFonts w:ascii="Garamond" w:eastAsia="Times New Roman" w:hAnsi="Garamond" w:cs="Segoe UI"/>
          <w:color w:val="3A3A3A"/>
          <w:sz w:val="28"/>
          <w:szCs w:val="28"/>
          <w:lang w:val="fr-FR" w:eastAsia="fr-FR"/>
        </w:rPr>
        <w:t>Heykhalot</w:t>
      </w:r>
      <w:proofErr w:type="spellEnd"/>
      <w:r w:rsidRPr="00C976EC">
        <w:rPr>
          <w:rFonts w:ascii="Garamond" w:eastAsia="Times New Roman" w:hAnsi="Garamond" w:cs="Segoe UI"/>
          <w:color w:val="3A3A3A"/>
          <w:sz w:val="28"/>
          <w:szCs w:val="28"/>
          <w:lang w:val="fr-FR" w:eastAsia="fr-FR"/>
        </w:rPr>
        <w:t xml:space="preserve"> et des textes du </w:t>
      </w:r>
      <w:proofErr w:type="spellStart"/>
      <w:r w:rsidRPr="00C976EC">
        <w:rPr>
          <w:rFonts w:ascii="Garamond" w:eastAsia="Times New Roman" w:hAnsi="Garamond" w:cs="Segoe UI"/>
          <w:color w:val="3A3A3A"/>
          <w:sz w:val="28"/>
          <w:szCs w:val="28"/>
          <w:lang w:val="fr-FR" w:eastAsia="fr-FR"/>
        </w:rPr>
        <w:t>Ma‘ase</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bereshit</w:t>
      </w:r>
      <w:proofErr w:type="spellEnd"/>
      <w:r w:rsidRPr="00C976EC">
        <w:rPr>
          <w:rFonts w:ascii="Garamond" w:eastAsia="Times New Roman" w:hAnsi="Garamond" w:cs="Segoe UI"/>
          <w:color w:val="3A3A3A"/>
          <w:sz w:val="28"/>
          <w:szCs w:val="28"/>
          <w:lang w:val="fr-FR" w:eastAsia="fr-FR"/>
        </w:rPr>
        <w:t xml:space="preserve"> de la période précédente. </w:t>
      </w:r>
      <w:r w:rsidR="00FB0C2F">
        <w:rPr>
          <w:rFonts w:ascii="Garamond" w:eastAsia="Times New Roman" w:hAnsi="Garamond" w:cs="Segoe UI"/>
          <w:color w:val="3A3A3A"/>
          <w:sz w:val="28"/>
          <w:szCs w:val="28"/>
          <w:lang w:val="fr-FR" w:eastAsia="fr-FR"/>
        </w:rPr>
        <w:t>L</w:t>
      </w:r>
      <w:r w:rsidRPr="00C976EC">
        <w:rPr>
          <w:rFonts w:ascii="Garamond" w:eastAsia="Times New Roman" w:hAnsi="Garamond" w:cs="Segoe UI"/>
          <w:color w:val="3A3A3A"/>
          <w:sz w:val="28"/>
          <w:szCs w:val="28"/>
          <w:lang w:val="fr-FR" w:eastAsia="fr-FR"/>
        </w:rPr>
        <w:t xml:space="preserve">’anthropologie est ordonnée autour de l’idée de l’archétype de l’âme, qui, préexistant sur un plan ontologique supérieur à sa carrière terrestre, est connaissable aux anges, aux démons et aussi aux prophètes. Cette doctrine porte la marque du néo-platonisme. La diffusion de ce dernier sera en outre favorisée par la traduction en hébreu d’œuvres philosophiques de penseurs juifs arabophones (Salomon Ibn </w:t>
      </w:r>
      <w:proofErr w:type="spellStart"/>
      <w:r w:rsidRPr="00C976EC">
        <w:rPr>
          <w:rFonts w:ascii="Garamond" w:eastAsia="Times New Roman" w:hAnsi="Garamond" w:cs="Segoe UI"/>
          <w:color w:val="3A3A3A"/>
          <w:sz w:val="28"/>
          <w:szCs w:val="28"/>
          <w:lang w:val="fr-FR" w:eastAsia="fr-FR"/>
        </w:rPr>
        <w:t>Gabirol</w:t>
      </w:r>
      <w:proofErr w:type="spellEnd"/>
      <w:r w:rsidRPr="00C976EC">
        <w:rPr>
          <w:rFonts w:ascii="Garamond" w:eastAsia="Times New Roman" w:hAnsi="Garamond" w:cs="Segoe UI"/>
          <w:color w:val="3A3A3A"/>
          <w:sz w:val="28"/>
          <w:szCs w:val="28"/>
          <w:lang w:val="fr-FR" w:eastAsia="fr-FR"/>
        </w:rPr>
        <w:t xml:space="preserve">), par des traités de vulgarisation (d’Abraham bar </w:t>
      </w:r>
      <w:proofErr w:type="spellStart"/>
      <w:r w:rsidRPr="00C976EC">
        <w:rPr>
          <w:rFonts w:ascii="Garamond" w:eastAsia="Times New Roman" w:hAnsi="Garamond" w:cs="Segoe UI"/>
          <w:color w:val="3A3A3A"/>
          <w:sz w:val="28"/>
          <w:szCs w:val="28"/>
          <w:lang w:val="fr-FR" w:eastAsia="fr-FR"/>
        </w:rPr>
        <w:t>Hiyya</w:t>
      </w:r>
      <w:proofErr w:type="spellEnd"/>
      <w:r w:rsidRPr="00C976EC">
        <w:rPr>
          <w:rFonts w:ascii="Garamond" w:eastAsia="Times New Roman" w:hAnsi="Garamond" w:cs="Segoe UI"/>
          <w:color w:val="3A3A3A"/>
          <w:sz w:val="28"/>
          <w:szCs w:val="28"/>
          <w:lang w:val="fr-FR" w:eastAsia="fr-FR"/>
        </w:rPr>
        <w:t>) et par des ouvrages de spiritualité (</w:t>
      </w:r>
      <w:proofErr w:type="spellStart"/>
      <w:r w:rsidRPr="00C976EC">
        <w:rPr>
          <w:rFonts w:ascii="Garamond" w:eastAsia="Times New Roman" w:hAnsi="Garamond" w:cs="Segoe UI"/>
          <w:color w:val="3A3A3A"/>
          <w:sz w:val="28"/>
          <w:szCs w:val="28"/>
          <w:lang w:val="fr-FR" w:eastAsia="fr-FR"/>
        </w:rPr>
        <w:t>Bahya</w:t>
      </w:r>
      <w:proofErr w:type="spellEnd"/>
      <w:r w:rsidRPr="00C976EC">
        <w:rPr>
          <w:rFonts w:ascii="Garamond" w:eastAsia="Times New Roman" w:hAnsi="Garamond" w:cs="Segoe UI"/>
          <w:color w:val="3A3A3A"/>
          <w:sz w:val="28"/>
          <w:szCs w:val="28"/>
          <w:lang w:val="fr-FR" w:eastAsia="fr-FR"/>
        </w:rPr>
        <w:t xml:space="preserve"> Ibn </w:t>
      </w:r>
      <w:proofErr w:type="spellStart"/>
      <w:r w:rsidRPr="00C976EC">
        <w:rPr>
          <w:rFonts w:ascii="Garamond" w:eastAsia="Times New Roman" w:hAnsi="Garamond" w:cs="Segoe UI"/>
          <w:color w:val="3A3A3A"/>
          <w:sz w:val="28"/>
          <w:szCs w:val="28"/>
          <w:lang w:val="fr-FR" w:eastAsia="fr-FR"/>
        </w:rPr>
        <w:t>Paquda</w:t>
      </w:r>
      <w:proofErr w:type="spellEnd"/>
      <w:r w:rsidRPr="00C976EC">
        <w:rPr>
          <w:rFonts w:ascii="Garamond" w:eastAsia="Times New Roman" w:hAnsi="Garamond" w:cs="Segoe UI"/>
          <w:color w:val="3A3A3A"/>
          <w:sz w:val="28"/>
          <w:szCs w:val="28"/>
          <w:lang w:val="fr-FR" w:eastAsia="fr-FR"/>
        </w:rPr>
        <w:t>, Juda Halévi) composés directement en hébreu. Il aura une influence déterminante sur l’évolution d’un courant contemporain du mouvement hassidique, mais d’une orientation très différente: la kabbale d’Espagne.</w:t>
      </w:r>
    </w:p>
    <w:p w:rsidR="00C976EC" w:rsidRPr="00C976EC" w:rsidRDefault="00C976EC" w:rsidP="00005877">
      <w:pPr>
        <w:spacing w:after="0" w:line="288" w:lineRule="atLeast"/>
        <w:jc w:val="both"/>
        <w:outlineLvl w:val="2"/>
        <w:rPr>
          <w:rFonts w:ascii="Garamond" w:eastAsia="Times New Roman" w:hAnsi="Garamond" w:cs="Segoe UI"/>
          <w:b/>
          <w:bCs/>
          <w:color w:val="3A3A3A"/>
          <w:sz w:val="28"/>
          <w:szCs w:val="28"/>
          <w:lang w:val="fr-FR" w:eastAsia="fr-FR"/>
        </w:rPr>
      </w:pPr>
      <w:r w:rsidRPr="00C976EC">
        <w:rPr>
          <w:rFonts w:ascii="Garamond" w:eastAsia="Times New Roman" w:hAnsi="Garamond" w:cs="Segoe UI"/>
          <w:b/>
          <w:bCs/>
          <w:i/>
          <w:iCs/>
          <w:color w:val="3A3A3A"/>
          <w:sz w:val="28"/>
          <w:szCs w:val="28"/>
          <w:bdr w:val="none" w:sz="0" w:space="0" w:color="auto" w:frame="1"/>
          <w:lang w:val="fr-FR" w:eastAsia="fr-FR"/>
        </w:rPr>
        <w:t>La Kabbale d’Espagne </w:t>
      </w:r>
    </w:p>
    <w:p w:rsidR="00C976EC" w:rsidRPr="00C976EC" w:rsidRDefault="00C976EC" w:rsidP="00005877">
      <w:pPr>
        <w:spacing w:after="0" w:line="240" w:lineRule="auto"/>
        <w:jc w:val="both"/>
        <w:outlineLvl w:val="3"/>
        <w:rPr>
          <w:rFonts w:ascii="Garamond" w:eastAsia="Times New Roman" w:hAnsi="Garamond" w:cs="Segoe UI"/>
          <w:b/>
          <w:bCs/>
          <w:color w:val="3A3A3A"/>
          <w:sz w:val="28"/>
          <w:szCs w:val="28"/>
          <w:lang w:val="fr-FR" w:eastAsia="fr-FR"/>
        </w:rPr>
      </w:pPr>
      <w:r w:rsidRPr="00C976EC">
        <w:rPr>
          <w:rFonts w:ascii="Garamond" w:eastAsia="Times New Roman" w:hAnsi="Garamond" w:cs="Segoe UI"/>
          <w:b/>
          <w:bCs/>
          <w:i/>
          <w:iCs/>
          <w:color w:val="3A3A3A"/>
          <w:sz w:val="28"/>
          <w:szCs w:val="28"/>
          <w:bdr w:val="none" w:sz="0" w:space="0" w:color="auto" w:frame="1"/>
          <w:lang w:val="fr-FR" w:eastAsia="fr-FR"/>
        </w:rPr>
        <w:t>Les cénacles de Provence</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 xml:space="preserve">Vers les années 1200, le midi de la France, agité par des tensions religieuses intenses et surtout par le catharisme, devient le foyer d’un épanouissement culturel exceptionnel des communautés juives, avec plusieurs centres d’études renommés en Provence (Narbonne, Béziers, Montpellier, Lunel, </w:t>
      </w:r>
      <w:proofErr w:type="spellStart"/>
      <w:r w:rsidRPr="00C976EC">
        <w:rPr>
          <w:rFonts w:ascii="Garamond" w:eastAsia="Times New Roman" w:hAnsi="Garamond" w:cs="Segoe UI"/>
          <w:color w:val="3A3A3A"/>
          <w:sz w:val="28"/>
          <w:szCs w:val="28"/>
          <w:lang w:val="fr-FR" w:eastAsia="fr-FR"/>
        </w:rPr>
        <w:t>Posquières</w:t>
      </w:r>
      <w:proofErr w:type="spellEnd"/>
      <w:r w:rsidRPr="00C976EC">
        <w:rPr>
          <w:rFonts w:ascii="Garamond" w:eastAsia="Times New Roman" w:hAnsi="Garamond" w:cs="Segoe UI"/>
          <w:color w:val="3A3A3A"/>
          <w:sz w:val="28"/>
          <w:szCs w:val="28"/>
          <w:lang w:val="fr-FR" w:eastAsia="fr-FR"/>
        </w:rPr>
        <w:t xml:space="preserve">); au XIIIe siècle, on en trouve en </w:t>
      </w:r>
      <w:r w:rsidRPr="00C976EC">
        <w:rPr>
          <w:rFonts w:ascii="Garamond" w:eastAsia="Times New Roman" w:hAnsi="Garamond" w:cs="Segoe UI"/>
          <w:color w:val="3A3A3A"/>
          <w:sz w:val="28"/>
          <w:szCs w:val="28"/>
          <w:lang w:val="fr-FR" w:eastAsia="fr-FR"/>
        </w:rPr>
        <w:lastRenderedPageBreak/>
        <w:t xml:space="preserve">Catalogne (Gérone, Barcelone) et en Castille (Burgos). Bien qu’on ne puisse faire état d’une information biographique étendue, le nom et l’identité des membres les plus éminents en sont connus. Jacob Nazir de Lunel, Abraham ben Isaac (mort en 1179) et son gendre Abraham ben David de </w:t>
      </w:r>
      <w:proofErr w:type="spellStart"/>
      <w:r w:rsidRPr="00C976EC">
        <w:rPr>
          <w:rFonts w:ascii="Garamond" w:eastAsia="Times New Roman" w:hAnsi="Garamond" w:cs="Segoe UI"/>
          <w:color w:val="3A3A3A"/>
          <w:sz w:val="28"/>
          <w:szCs w:val="28"/>
          <w:lang w:val="fr-FR" w:eastAsia="fr-FR"/>
        </w:rPr>
        <w:t>Posquières</w:t>
      </w:r>
      <w:proofErr w:type="spellEnd"/>
      <w:r w:rsidRPr="00C976EC">
        <w:rPr>
          <w:rFonts w:ascii="Garamond" w:eastAsia="Times New Roman" w:hAnsi="Garamond" w:cs="Segoe UI"/>
          <w:color w:val="3A3A3A"/>
          <w:sz w:val="28"/>
          <w:szCs w:val="28"/>
          <w:lang w:val="fr-FR" w:eastAsia="fr-FR"/>
        </w:rPr>
        <w:t xml:space="preserve"> (mort en 1199), autorités religieuses de renom, ont laissé, parmi leurs écrits, des fragments d’enseignements théosophiques. Le fils d’Abraham ben David, Isaac l’Aveugle de Narbonne, que les sources contemporaines présentent comme le type pur du mystique contemplatif, est le premier lettré juif dont l’activité se limite à la kabbale. L’école de Provence annonce un renouveau doctrinal important. Ce sont surtout les écrits d’Isaac l’Aveugle (commentaire sur le Sefer </w:t>
      </w:r>
      <w:proofErr w:type="spellStart"/>
      <w:r w:rsidRPr="00C976EC">
        <w:rPr>
          <w:rFonts w:ascii="Garamond" w:eastAsia="Times New Roman" w:hAnsi="Garamond" w:cs="Segoe UI"/>
          <w:color w:val="3A3A3A"/>
          <w:sz w:val="28"/>
          <w:szCs w:val="28"/>
          <w:lang w:val="fr-FR" w:eastAsia="fr-FR"/>
        </w:rPr>
        <w:t>Yesira</w:t>
      </w:r>
      <w:proofErr w:type="spellEnd"/>
      <w:r w:rsidRPr="00C976EC">
        <w:rPr>
          <w:rFonts w:ascii="Garamond" w:eastAsia="Times New Roman" w:hAnsi="Garamond" w:cs="Segoe UI"/>
          <w:color w:val="3A3A3A"/>
          <w:sz w:val="28"/>
          <w:szCs w:val="28"/>
          <w:lang w:val="fr-FR" w:eastAsia="fr-FR"/>
        </w:rPr>
        <w:t xml:space="preserve">), mais aussi les allusions contenues dans les œuvres de Jacob Nazir et d’Abraham ben David qui montrent que les spéculations, centrées sur le monde séfirotique, s’efforçaient de formuler la distinction entre l’aspect manifesté de la divinité – le Démiurge, en hébreu </w:t>
      </w:r>
      <w:proofErr w:type="spellStart"/>
      <w:r w:rsidRPr="00C976EC">
        <w:rPr>
          <w:rFonts w:ascii="Garamond" w:eastAsia="Times New Roman" w:hAnsi="Garamond" w:cs="Segoe UI"/>
          <w:color w:val="3A3A3A"/>
          <w:sz w:val="28"/>
          <w:szCs w:val="28"/>
          <w:lang w:val="fr-FR" w:eastAsia="fr-FR"/>
        </w:rPr>
        <w:t>Yoser</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bereshit</w:t>
      </w:r>
      <w:proofErr w:type="spellEnd"/>
      <w:r w:rsidRPr="00C976EC">
        <w:rPr>
          <w:rFonts w:ascii="Garamond" w:eastAsia="Times New Roman" w:hAnsi="Garamond" w:cs="Segoe UI"/>
          <w:color w:val="3A3A3A"/>
          <w:sz w:val="28"/>
          <w:szCs w:val="28"/>
          <w:lang w:val="fr-FR" w:eastAsia="fr-FR"/>
        </w:rPr>
        <w:t xml:space="preserve"> – et son aspect non manifesté – la Cause des causes –, inconnaissable à l’homme, même au sommet de la contemplation mystique. Ces écrits annoncent aussi une nouvelle technique de contemplation reliant les mots de la liturgie à la méditation sur les sefirot ; cette technique jouera un rôle central dans les branches tardives de la kabbale.</w:t>
      </w:r>
    </w:p>
    <w:p w:rsidR="00C976EC" w:rsidRPr="005162AF" w:rsidRDefault="00C976EC" w:rsidP="00005877">
      <w:pPr>
        <w:spacing w:after="0" w:line="240" w:lineRule="auto"/>
        <w:jc w:val="both"/>
        <w:outlineLvl w:val="3"/>
        <w:rPr>
          <w:rFonts w:ascii="Garamond" w:eastAsia="Times New Roman" w:hAnsi="Garamond" w:cs="Segoe UI"/>
          <w:b/>
          <w:bCs/>
          <w:color w:val="3A3A3A"/>
          <w:sz w:val="28"/>
          <w:szCs w:val="28"/>
          <w:lang w:val="fr-FR" w:eastAsia="fr-FR"/>
        </w:rPr>
      </w:pPr>
      <w:r w:rsidRPr="005162AF">
        <w:rPr>
          <w:rFonts w:ascii="Garamond" w:eastAsia="Times New Roman" w:hAnsi="Garamond" w:cs="Segoe UI"/>
          <w:b/>
          <w:bCs/>
          <w:i/>
          <w:iCs/>
          <w:color w:val="3A3A3A"/>
          <w:sz w:val="28"/>
          <w:szCs w:val="28"/>
          <w:bdr w:val="none" w:sz="0" w:space="0" w:color="auto" w:frame="1"/>
          <w:lang w:val="fr-FR" w:eastAsia="fr-FR"/>
        </w:rPr>
        <w:t>Le cercle de  ‘</w:t>
      </w:r>
      <w:proofErr w:type="spellStart"/>
      <w:r w:rsidRPr="005162AF">
        <w:rPr>
          <w:rFonts w:ascii="Garamond" w:eastAsia="Times New Roman" w:hAnsi="Garamond" w:cs="Segoe UI"/>
          <w:b/>
          <w:bCs/>
          <w:i/>
          <w:iCs/>
          <w:color w:val="3A3A3A"/>
          <w:sz w:val="28"/>
          <w:szCs w:val="28"/>
          <w:bdr w:val="none" w:sz="0" w:space="0" w:color="auto" w:frame="1"/>
          <w:lang w:val="fr-FR" w:eastAsia="fr-FR"/>
        </w:rPr>
        <w:t>Iyyun</w:t>
      </w:r>
      <w:proofErr w:type="spellEnd"/>
      <w:r w:rsidRPr="005162AF">
        <w:rPr>
          <w:rFonts w:ascii="Garamond" w:eastAsia="Times New Roman" w:hAnsi="Garamond" w:cs="Segoe UI"/>
          <w:b/>
          <w:bCs/>
          <w:i/>
          <w:iCs/>
          <w:color w:val="3A3A3A"/>
          <w:sz w:val="28"/>
          <w:szCs w:val="28"/>
          <w:bdr w:val="none" w:sz="0" w:space="0" w:color="auto" w:frame="1"/>
          <w:lang w:val="fr-FR" w:eastAsia="fr-FR"/>
        </w:rPr>
        <w:t>»</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Un cercle contemporain des cénacles de Provence, non encore localisé, appelé «cercle de ‘</w:t>
      </w:r>
      <w:proofErr w:type="spellStart"/>
      <w:r w:rsidRPr="00C976EC">
        <w:rPr>
          <w:rFonts w:ascii="Garamond" w:eastAsia="Times New Roman" w:hAnsi="Garamond" w:cs="Segoe UI"/>
          <w:color w:val="3A3A3A"/>
          <w:sz w:val="28"/>
          <w:szCs w:val="28"/>
          <w:lang w:val="fr-FR" w:eastAsia="fr-FR"/>
        </w:rPr>
        <w:t>Iyyun</w:t>
      </w:r>
      <w:proofErr w:type="spellEnd"/>
      <w:r w:rsidRPr="00C976EC">
        <w:rPr>
          <w:rFonts w:ascii="Garamond" w:eastAsia="Times New Roman" w:hAnsi="Garamond" w:cs="Segoe UI"/>
          <w:color w:val="3A3A3A"/>
          <w:sz w:val="28"/>
          <w:szCs w:val="28"/>
          <w:lang w:val="fr-FR" w:eastAsia="fr-FR"/>
        </w:rPr>
        <w:t xml:space="preserve">», d’après son texte </w:t>
      </w:r>
      <w:r w:rsidRPr="00C976EC">
        <w:rPr>
          <w:rFonts w:ascii="Garamond" w:eastAsia="Times New Roman" w:hAnsi="Garamond" w:cs="Segoe UI"/>
          <w:color w:val="3A3A3A"/>
          <w:sz w:val="28"/>
          <w:szCs w:val="28"/>
          <w:lang w:val="fr-FR" w:eastAsia="fr-FR"/>
        </w:rPr>
        <w:lastRenderedPageBreak/>
        <w:t>fondamental (Sefer ha-</w:t>
      </w:r>
      <w:proofErr w:type="gramStart"/>
      <w:r w:rsidRPr="00C976EC">
        <w:rPr>
          <w:rFonts w:ascii="Garamond" w:eastAsia="Times New Roman" w:hAnsi="Garamond" w:cs="Segoe UI"/>
          <w:color w:val="3A3A3A"/>
          <w:sz w:val="28"/>
          <w:szCs w:val="28"/>
          <w:lang w:val="fr-FR" w:eastAsia="fr-FR"/>
        </w:rPr>
        <w:t>‘</w:t>
      </w:r>
      <w:proofErr w:type="spellStart"/>
      <w:r w:rsidRPr="00C976EC">
        <w:rPr>
          <w:rFonts w:ascii="Garamond" w:eastAsia="Times New Roman" w:hAnsi="Garamond" w:cs="Segoe UI"/>
          <w:color w:val="3A3A3A"/>
          <w:sz w:val="28"/>
          <w:szCs w:val="28"/>
          <w:lang w:val="fr-FR" w:eastAsia="fr-FR"/>
        </w:rPr>
        <w:t>Iyyun</w:t>
      </w:r>
      <w:proofErr w:type="spellEnd"/>
      <w:r w:rsidRPr="00C976EC">
        <w:rPr>
          <w:rFonts w:ascii="Garamond" w:eastAsia="Times New Roman" w:hAnsi="Garamond" w:cs="Segoe UI"/>
          <w:color w:val="3A3A3A"/>
          <w:sz w:val="28"/>
          <w:szCs w:val="28"/>
          <w:lang w:val="fr-FR" w:eastAsia="fr-FR"/>
        </w:rPr>
        <w:t xml:space="preserve"> )</w:t>
      </w:r>
      <w:proofErr w:type="gramEnd"/>
      <w:r w:rsidRPr="00C976EC">
        <w:rPr>
          <w:rFonts w:ascii="Garamond" w:eastAsia="Times New Roman" w:hAnsi="Garamond" w:cs="Segoe UI"/>
          <w:color w:val="3A3A3A"/>
          <w:sz w:val="28"/>
          <w:szCs w:val="28"/>
          <w:lang w:val="fr-FR" w:eastAsia="fr-FR"/>
        </w:rPr>
        <w:t xml:space="preserve">, élabore un nouveau genre de littérature pseudépigraphique, qui est diffusé sous la caution d’autorités rabbiniques de la période talmudique. Ces textes, en grande partie encore inédits («La Source de la sagesse», «Prière de </w:t>
      </w:r>
      <w:proofErr w:type="spellStart"/>
      <w:r w:rsidRPr="00C976EC">
        <w:rPr>
          <w:rFonts w:ascii="Garamond" w:eastAsia="Times New Roman" w:hAnsi="Garamond" w:cs="Segoe UI"/>
          <w:color w:val="3A3A3A"/>
          <w:sz w:val="28"/>
          <w:szCs w:val="28"/>
          <w:lang w:val="fr-FR" w:eastAsia="fr-FR"/>
        </w:rPr>
        <w:t>Nehunya</w:t>
      </w:r>
      <w:proofErr w:type="spellEnd"/>
      <w:r w:rsidRPr="00C976EC">
        <w:rPr>
          <w:rFonts w:ascii="Garamond" w:eastAsia="Times New Roman" w:hAnsi="Garamond" w:cs="Segoe UI"/>
          <w:color w:val="3A3A3A"/>
          <w:sz w:val="28"/>
          <w:szCs w:val="28"/>
          <w:lang w:val="fr-FR" w:eastAsia="fr-FR"/>
        </w:rPr>
        <w:t xml:space="preserve"> ben </w:t>
      </w:r>
      <w:proofErr w:type="spellStart"/>
      <w:r w:rsidRPr="00C976EC">
        <w:rPr>
          <w:rFonts w:ascii="Garamond" w:eastAsia="Times New Roman" w:hAnsi="Garamond" w:cs="Segoe UI"/>
          <w:color w:val="3A3A3A"/>
          <w:sz w:val="28"/>
          <w:szCs w:val="28"/>
          <w:lang w:val="fr-FR" w:eastAsia="fr-FR"/>
        </w:rPr>
        <w:t>Haqana</w:t>
      </w:r>
      <w:proofErr w:type="spellEnd"/>
      <w:r w:rsidRPr="00C976EC">
        <w:rPr>
          <w:rFonts w:ascii="Garamond" w:eastAsia="Times New Roman" w:hAnsi="Garamond" w:cs="Segoe UI"/>
          <w:color w:val="3A3A3A"/>
          <w:sz w:val="28"/>
          <w:szCs w:val="28"/>
          <w:lang w:val="fr-FR" w:eastAsia="fr-FR"/>
        </w:rPr>
        <w:t>», «Midrash de Simon ben Sadiq», consultations attribuées à Haï Gaon), ont pour thème principal une mystique de la lumière, symbole de l’émanation, et témoignent de l’influence toujours grandissante du néo-platonisme. Alors que dans le hassidisme la psychologie seule portait l’empreinte de ce courant philosophique, avec les textes de ‘</w:t>
      </w:r>
      <w:proofErr w:type="spellStart"/>
      <w:r w:rsidRPr="00C976EC">
        <w:rPr>
          <w:rFonts w:ascii="Garamond" w:eastAsia="Times New Roman" w:hAnsi="Garamond" w:cs="Segoe UI"/>
          <w:color w:val="3A3A3A"/>
          <w:sz w:val="28"/>
          <w:szCs w:val="28"/>
          <w:lang w:val="fr-FR" w:eastAsia="fr-FR"/>
        </w:rPr>
        <w:t>Iyyun</w:t>
      </w:r>
      <w:proofErr w:type="spellEnd"/>
      <w:r w:rsidRPr="00C976EC">
        <w:rPr>
          <w:rFonts w:ascii="Garamond" w:eastAsia="Times New Roman" w:hAnsi="Garamond" w:cs="Segoe UI"/>
          <w:color w:val="3A3A3A"/>
          <w:sz w:val="28"/>
          <w:szCs w:val="28"/>
          <w:lang w:val="fr-FR" w:eastAsia="fr-FR"/>
        </w:rPr>
        <w:t xml:space="preserve"> et de la littérature du cénacle de Gérone, où les écrits de ‘</w:t>
      </w:r>
      <w:proofErr w:type="spellStart"/>
      <w:r w:rsidRPr="00C976EC">
        <w:rPr>
          <w:rFonts w:ascii="Garamond" w:eastAsia="Times New Roman" w:hAnsi="Garamond" w:cs="Segoe UI"/>
          <w:color w:val="3A3A3A"/>
          <w:sz w:val="28"/>
          <w:szCs w:val="28"/>
          <w:lang w:val="fr-FR" w:eastAsia="fr-FR"/>
        </w:rPr>
        <w:t>Iyyun</w:t>
      </w:r>
      <w:proofErr w:type="spellEnd"/>
      <w:r w:rsidRPr="00C976EC">
        <w:rPr>
          <w:rFonts w:ascii="Garamond" w:eastAsia="Times New Roman" w:hAnsi="Garamond" w:cs="Segoe UI"/>
          <w:color w:val="3A3A3A"/>
          <w:sz w:val="28"/>
          <w:szCs w:val="28"/>
          <w:lang w:val="fr-FR" w:eastAsia="fr-FR"/>
        </w:rPr>
        <w:t xml:space="preserve"> étaient connus et même utilisés, les concepts néo-platoniciens deviennent la base tant de la métaphysique que de la cosmologie.</w:t>
      </w:r>
    </w:p>
    <w:p w:rsidR="00C976EC" w:rsidRPr="00C976EC" w:rsidRDefault="00C976EC" w:rsidP="00005877">
      <w:pPr>
        <w:spacing w:after="0" w:line="240" w:lineRule="auto"/>
        <w:jc w:val="both"/>
        <w:outlineLvl w:val="3"/>
        <w:rPr>
          <w:rFonts w:ascii="Garamond" w:eastAsia="Times New Roman" w:hAnsi="Garamond" w:cs="Segoe UI"/>
          <w:b/>
          <w:bCs/>
          <w:color w:val="3A3A3A"/>
          <w:sz w:val="28"/>
          <w:szCs w:val="28"/>
          <w:lang w:val="fr-FR" w:eastAsia="fr-FR"/>
        </w:rPr>
      </w:pPr>
      <w:r w:rsidRPr="00C976EC">
        <w:rPr>
          <w:rFonts w:ascii="Garamond" w:eastAsia="Times New Roman" w:hAnsi="Garamond" w:cs="Segoe UI"/>
          <w:b/>
          <w:bCs/>
          <w:i/>
          <w:iCs/>
          <w:color w:val="3A3A3A"/>
          <w:sz w:val="28"/>
          <w:szCs w:val="28"/>
          <w:bdr w:val="none" w:sz="0" w:space="0" w:color="auto" w:frame="1"/>
          <w:lang w:val="fr-FR" w:eastAsia="fr-FR"/>
        </w:rPr>
        <w:t>Le cénacle de Gérone</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 xml:space="preserve">Entre 1200 et 1260, Gérone est un centre actif qui compte parmi ses membres les penseurs les plus marquants de la kabbale: Juda ben </w:t>
      </w:r>
      <w:proofErr w:type="spellStart"/>
      <w:r w:rsidRPr="00C976EC">
        <w:rPr>
          <w:rFonts w:ascii="Garamond" w:eastAsia="Times New Roman" w:hAnsi="Garamond" w:cs="Segoe UI"/>
          <w:color w:val="3A3A3A"/>
          <w:sz w:val="28"/>
          <w:szCs w:val="28"/>
          <w:lang w:val="fr-FR" w:eastAsia="fr-FR"/>
        </w:rPr>
        <w:t>Yaqar</w:t>
      </w:r>
      <w:proofErr w:type="spellEnd"/>
      <w:r w:rsidRPr="00C976EC">
        <w:rPr>
          <w:rFonts w:ascii="Garamond" w:eastAsia="Times New Roman" w:hAnsi="Garamond" w:cs="Segoe UI"/>
          <w:color w:val="3A3A3A"/>
          <w:sz w:val="28"/>
          <w:szCs w:val="28"/>
          <w:lang w:val="fr-FR" w:eastAsia="fr-FR"/>
        </w:rPr>
        <w:t xml:space="preserve">, Ezra ben Salomon, </w:t>
      </w:r>
      <w:proofErr w:type="spellStart"/>
      <w:r w:rsidRPr="00C976EC">
        <w:rPr>
          <w:rFonts w:ascii="Garamond" w:eastAsia="Times New Roman" w:hAnsi="Garamond" w:cs="Segoe UI"/>
          <w:color w:val="3A3A3A"/>
          <w:sz w:val="28"/>
          <w:szCs w:val="28"/>
          <w:lang w:val="fr-FR" w:eastAsia="fr-FR"/>
        </w:rPr>
        <w:t>Azriel</w:t>
      </w:r>
      <w:proofErr w:type="spellEnd"/>
      <w:r w:rsidRPr="00C976EC">
        <w:rPr>
          <w:rFonts w:ascii="Garamond" w:eastAsia="Times New Roman" w:hAnsi="Garamond" w:cs="Segoe UI"/>
          <w:color w:val="3A3A3A"/>
          <w:sz w:val="28"/>
          <w:szCs w:val="28"/>
          <w:lang w:val="fr-FR" w:eastAsia="fr-FR"/>
        </w:rPr>
        <w:t xml:space="preserve">, Jacob ben </w:t>
      </w:r>
      <w:proofErr w:type="spellStart"/>
      <w:r w:rsidRPr="00C976EC">
        <w:rPr>
          <w:rFonts w:ascii="Garamond" w:eastAsia="Times New Roman" w:hAnsi="Garamond" w:cs="Segoe UI"/>
          <w:color w:val="3A3A3A"/>
          <w:sz w:val="28"/>
          <w:szCs w:val="28"/>
          <w:lang w:val="fr-FR" w:eastAsia="fr-FR"/>
        </w:rPr>
        <w:t>Sheshet</w:t>
      </w:r>
      <w:proofErr w:type="spellEnd"/>
      <w:r w:rsidRPr="00C976EC">
        <w:rPr>
          <w:rFonts w:ascii="Garamond" w:eastAsia="Times New Roman" w:hAnsi="Garamond" w:cs="Segoe UI"/>
          <w:color w:val="3A3A3A"/>
          <w:sz w:val="28"/>
          <w:szCs w:val="28"/>
          <w:lang w:val="fr-FR" w:eastAsia="fr-FR"/>
        </w:rPr>
        <w:t xml:space="preserve">, Moïse ben </w:t>
      </w:r>
      <w:proofErr w:type="spellStart"/>
      <w:r w:rsidRPr="00C976EC">
        <w:rPr>
          <w:rFonts w:ascii="Garamond" w:eastAsia="Times New Roman" w:hAnsi="Garamond" w:cs="Segoe UI"/>
          <w:color w:val="3A3A3A"/>
          <w:sz w:val="28"/>
          <w:szCs w:val="28"/>
          <w:lang w:val="fr-FR" w:eastAsia="fr-FR"/>
        </w:rPr>
        <w:t>Nahman</w:t>
      </w:r>
      <w:proofErr w:type="spellEnd"/>
      <w:r w:rsidRPr="00C976EC">
        <w:rPr>
          <w:rFonts w:ascii="Garamond" w:eastAsia="Times New Roman" w:hAnsi="Garamond" w:cs="Segoe UI"/>
          <w:color w:val="3A3A3A"/>
          <w:sz w:val="28"/>
          <w:szCs w:val="28"/>
          <w:lang w:val="fr-FR" w:eastAsia="fr-FR"/>
        </w:rPr>
        <w:t xml:space="preserve">. Leurs écrits, presque tous édités et même en partie traduits, reflètent des différences d’ordre doctrinal d’un auteur à l’autre et aussi, pour la première fois dans cette littérature ésotérique, des différences de tempérament. En effet, si les auteurs hassidiques et les kabbalistes de Provence nous sont déjà signalés par certaines données biographiques, c’est à Gérone seulement que les mystiques juifs sortent de l’anonymat. Il s’agit de la première littérature ésotérique où la </w:t>
      </w:r>
      <w:r w:rsidRPr="00C976EC">
        <w:rPr>
          <w:rFonts w:ascii="Garamond" w:eastAsia="Times New Roman" w:hAnsi="Garamond" w:cs="Segoe UI"/>
          <w:color w:val="3A3A3A"/>
          <w:sz w:val="28"/>
          <w:szCs w:val="28"/>
          <w:lang w:val="fr-FR" w:eastAsia="fr-FR"/>
        </w:rPr>
        <w:lastRenderedPageBreak/>
        <w:t xml:space="preserve">différenciation stylistique et idéologique des écrits permet de reconstituer la personnalité de chaque auteur. Les genres littéraires sont également plus variés. Outre des exégèses mystiques sur différentes parties de l’Écriture (sur le Cantique des cantiques par Ezra ben Salomon; sur Genèse I, </w:t>
      </w:r>
      <w:proofErr w:type="spellStart"/>
      <w:r w:rsidRPr="00C976EC">
        <w:rPr>
          <w:rFonts w:ascii="Garamond" w:eastAsia="Times New Roman" w:hAnsi="Garamond" w:cs="Segoe UI"/>
          <w:color w:val="3A3A3A"/>
          <w:sz w:val="28"/>
          <w:szCs w:val="28"/>
          <w:lang w:val="fr-FR" w:eastAsia="fr-FR"/>
        </w:rPr>
        <w:t>Qohelet</w:t>
      </w:r>
      <w:proofErr w:type="spellEnd"/>
      <w:r w:rsidRPr="00C976EC">
        <w:rPr>
          <w:rFonts w:ascii="Garamond" w:eastAsia="Times New Roman" w:hAnsi="Garamond" w:cs="Segoe UI"/>
          <w:color w:val="3A3A3A"/>
          <w:sz w:val="28"/>
          <w:szCs w:val="28"/>
          <w:lang w:val="fr-FR" w:eastAsia="fr-FR"/>
        </w:rPr>
        <w:t xml:space="preserve">, Job par Moïse </w:t>
      </w:r>
      <w:proofErr w:type="spellStart"/>
      <w:r w:rsidRPr="00C976EC">
        <w:rPr>
          <w:rFonts w:ascii="Garamond" w:eastAsia="Times New Roman" w:hAnsi="Garamond" w:cs="Segoe UI"/>
          <w:color w:val="3A3A3A"/>
          <w:sz w:val="28"/>
          <w:szCs w:val="28"/>
          <w:lang w:val="fr-FR" w:eastAsia="fr-FR"/>
        </w:rPr>
        <w:t>Nahmanide</w:t>
      </w:r>
      <w:proofErr w:type="spellEnd"/>
      <w:r w:rsidRPr="00C976EC">
        <w:rPr>
          <w:rFonts w:ascii="Garamond" w:eastAsia="Times New Roman" w:hAnsi="Garamond" w:cs="Segoe UI"/>
          <w:color w:val="3A3A3A"/>
          <w:sz w:val="28"/>
          <w:szCs w:val="28"/>
          <w:lang w:val="fr-FR" w:eastAsia="fr-FR"/>
        </w:rPr>
        <w:t xml:space="preserve">), sur les parties homilétiques du Talmud (commentaire sur les </w:t>
      </w:r>
      <w:proofErr w:type="spellStart"/>
      <w:r w:rsidRPr="00C976EC">
        <w:rPr>
          <w:rFonts w:ascii="Garamond" w:eastAsia="Times New Roman" w:hAnsi="Garamond" w:cs="Segoe UI"/>
          <w:color w:val="3A3A3A"/>
          <w:sz w:val="28"/>
          <w:szCs w:val="28"/>
          <w:lang w:val="fr-FR" w:eastAsia="fr-FR"/>
        </w:rPr>
        <w:t>Aggadot</w:t>
      </w:r>
      <w:proofErr w:type="spellEnd"/>
      <w:r w:rsidRPr="00C976EC">
        <w:rPr>
          <w:rFonts w:ascii="Garamond" w:eastAsia="Times New Roman" w:hAnsi="Garamond" w:cs="Segoe UI"/>
          <w:color w:val="3A3A3A"/>
          <w:sz w:val="28"/>
          <w:szCs w:val="28"/>
          <w:lang w:val="fr-FR" w:eastAsia="fr-FR"/>
        </w:rPr>
        <w:t xml:space="preserve"> par Ezra et </w:t>
      </w:r>
      <w:proofErr w:type="spellStart"/>
      <w:r w:rsidRPr="00C976EC">
        <w:rPr>
          <w:rFonts w:ascii="Garamond" w:eastAsia="Times New Roman" w:hAnsi="Garamond" w:cs="Segoe UI"/>
          <w:color w:val="3A3A3A"/>
          <w:sz w:val="28"/>
          <w:szCs w:val="28"/>
          <w:lang w:val="fr-FR" w:eastAsia="fr-FR"/>
        </w:rPr>
        <w:t>Azriel</w:t>
      </w:r>
      <w:proofErr w:type="spellEnd"/>
      <w:r w:rsidRPr="00C976EC">
        <w:rPr>
          <w:rFonts w:ascii="Garamond" w:eastAsia="Times New Roman" w:hAnsi="Garamond" w:cs="Segoe UI"/>
          <w:color w:val="3A3A3A"/>
          <w:sz w:val="28"/>
          <w:szCs w:val="28"/>
          <w:lang w:val="fr-FR" w:eastAsia="fr-FR"/>
        </w:rPr>
        <w:t>) et sur la liturgie quotidienne (</w:t>
      </w:r>
      <w:proofErr w:type="spellStart"/>
      <w:r w:rsidRPr="00C976EC">
        <w:rPr>
          <w:rFonts w:ascii="Garamond" w:eastAsia="Times New Roman" w:hAnsi="Garamond" w:cs="Segoe UI"/>
          <w:color w:val="3A3A3A"/>
          <w:sz w:val="28"/>
          <w:szCs w:val="28"/>
          <w:lang w:val="fr-FR" w:eastAsia="fr-FR"/>
        </w:rPr>
        <w:t>Azriel</w:t>
      </w:r>
      <w:proofErr w:type="spellEnd"/>
      <w:r w:rsidRPr="00C976EC">
        <w:rPr>
          <w:rFonts w:ascii="Garamond" w:eastAsia="Times New Roman" w:hAnsi="Garamond" w:cs="Segoe UI"/>
          <w:color w:val="3A3A3A"/>
          <w:sz w:val="28"/>
          <w:szCs w:val="28"/>
          <w:lang w:val="fr-FR" w:eastAsia="fr-FR"/>
        </w:rPr>
        <w:t xml:space="preserve">), on relève aussi des œuvres polémiques s’en prenant à des doctrines aristotéliciennes (Jacob ben </w:t>
      </w:r>
      <w:proofErr w:type="spellStart"/>
      <w:r w:rsidRPr="00C976EC">
        <w:rPr>
          <w:rFonts w:ascii="Garamond" w:eastAsia="Times New Roman" w:hAnsi="Garamond" w:cs="Segoe UI"/>
          <w:color w:val="3A3A3A"/>
          <w:sz w:val="28"/>
          <w:szCs w:val="28"/>
          <w:lang w:val="fr-FR" w:eastAsia="fr-FR"/>
        </w:rPr>
        <w:t>Sheshet</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Meshib</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Debarim</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Nekokhim</w:t>
      </w:r>
      <w:proofErr w:type="spellEnd"/>
      <w:r w:rsidRPr="00C976EC">
        <w:rPr>
          <w:rFonts w:ascii="Garamond" w:eastAsia="Times New Roman" w:hAnsi="Garamond" w:cs="Segoe UI"/>
          <w:color w:val="3A3A3A"/>
          <w:sz w:val="28"/>
          <w:szCs w:val="28"/>
          <w:lang w:val="fr-FR" w:eastAsia="fr-FR"/>
        </w:rPr>
        <w:t xml:space="preserve"> ) et le premier exposé didactique des doctrines kabbalistiques (</w:t>
      </w:r>
      <w:proofErr w:type="spellStart"/>
      <w:r w:rsidRPr="00C976EC">
        <w:rPr>
          <w:rFonts w:ascii="Garamond" w:eastAsia="Times New Roman" w:hAnsi="Garamond" w:cs="Segoe UI"/>
          <w:color w:val="3A3A3A"/>
          <w:sz w:val="28"/>
          <w:szCs w:val="28"/>
          <w:lang w:val="fr-FR" w:eastAsia="fr-FR"/>
        </w:rPr>
        <w:t>Azriel</w:t>
      </w:r>
      <w:proofErr w:type="spellEnd"/>
      <w:r w:rsidRPr="00C976EC">
        <w:rPr>
          <w:rFonts w:ascii="Garamond" w:eastAsia="Times New Roman" w:hAnsi="Garamond" w:cs="Segoe UI"/>
          <w:color w:val="3A3A3A"/>
          <w:sz w:val="28"/>
          <w:szCs w:val="28"/>
          <w:lang w:val="fr-FR" w:eastAsia="fr-FR"/>
        </w:rPr>
        <w:t>, Commentaire sur les dix sefirot ). L’influence du néo-platonisme atteint son apogée dans les œuvres d’</w:t>
      </w:r>
      <w:proofErr w:type="spellStart"/>
      <w:r w:rsidRPr="00C976EC">
        <w:rPr>
          <w:rFonts w:ascii="Garamond" w:eastAsia="Times New Roman" w:hAnsi="Garamond" w:cs="Segoe UI"/>
          <w:color w:val="3A3A3A"/>
          <w:sz w:val="28"/>
          <w:szCs w:val="28"/>
          <w:lang w:val="fr-FR" w:eastAsia="fr-FR"/>
        </w:rPr>
        <w:t>Azriel</w:t>
      </w:r>
      <w:proofErr w:type="spellEnd"/>
      <w:r w:rsidRPr="00C976EC">
        <w:rPr>
          <w:rFonts w:ascii="Garamond" w:eastAsia="Times New Roman" w:hAnsi="Garamond" w:cs="Segoe UI"/>
          <w:color w:val="3A3A3A"/>
          <w:sz w:val="28"/>
          <w:szCs w:val="28"/>
          <w:lang w:val="fr-FR" w:eastAsia="fr-FR"/>
        </w:rPr>
        <w:t>. Sans parler des fragments de pseudépigraphes néo-platoniciens intégrés dans ses œuvres, plusieurs de ses expressions caractéristiques, et sa doctrine du Néant divin ou des Ténèbres suprêmes, source de la lumière de l’émanation, trahissent une connaissance, peut-être indirecte seulement, des œuvres de Jean Scot Érigène, dont la nouvelle période de diffusion, suivie d’une condamnation (1210), coïncide de près avec la période active d’</w:t>
      </w:r>
      <w:proofErr w:type="spellStart"/>
      <w:r w:rsidRPr="00C976EC">
        <w:rPr>
          <w:rFonts w:ascii="Garamond" w:eastAsia="Times New Roman" w:hAnsi="Garamond" w:cs="Segoe UI"/>
          <w:color w:val="3A3A3A"/>
          <w:sz w:val="28"/>
          <w:szCs w:val="28"/>
          <w:lang w:val="fr-FR" w:eastAsia="fr-FR"/>
        </w:rPr>
        <w:t>Azriel</w:t>
      </w:r>
      <w:proofErr w:type="spellEnd"/>
      <w:r w:rsidRPr="00C976EC">
        <w:rPr>
          <w:rFonts w:ascii="Garamond" w:eastAsia="Times New Roman" w:hAnsi="Garamond" w:cs="Segoe UI"/>
          <w:color w:val="3A3A3A"/>
          <w:sz w:val="28"/>
          <w:szCs w:val="28"/>
          <w:lang w:val="fr-FR" w:eastAsia="fr-FR"/>
        </w:rPr>
        <w:t xml:space="preserve"> lui-même (1220-1240).</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 xml:space="preserve">À partir du milieu du XIIIe siècle, et parallèlement au courant principal continué par les disciples de </w:t>
      </w:r>
      <w:proofErr w:type="spellStart"/>
      <w:r w:rsidRPr="00C976EC">
        <w:rPr>
          <w:rFonts w:ascii="Garamond" w:eastAsia="Times New Roman" w:hAnsi="Garamond" w:cs="Segoe UI"/>
          <w:color w:val="3A3A3A"/>
          <w:sz w:val="28"/>
          <w:szCs w:val="28"/>
          <w:lang w:val="fr-FR" w:eastAsia="fr-FR"/>
        </w:rPr>
        <w:t>Nahmanide</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Méir</w:t>
      </w:r>
      <w:proofErr w:type="spellEnd"/>
      <w:r w:rsidRPr="00C976EC">
        <w:rPr>
          <w:rFonts w:ascii="Garamond" w:eastAsia="Times New Roman" w:hAnsi="Garamond" w:cs="Segoe UI"/>
          <w:color w:val="3A3A3A"/>
          <w:sz w:val="28"/>
          <w:szCs w:val="28"/>
          <w:lang w:val="fr-FR" w:eastAsia="fr-FR"/>
        </w:rPr>
        <w:t xml:space="preserve"> Ibn Abu </w:t>
      </w:r>
      <w:proofErr w:type="spellStart"/>
      <w:r w:rsidRPr="00C976EC">
        <w:rPr>
          <w:rFonts w:ascii="Garamond" w:eastAsia="Times New Roman" w:hAnsi="Garamond" w:cs="Segoe UI"/>
          <w:color w:val="3A3A3A"/>
          <w:sz w:val="28"/>
          <w:szCs w:val="28"/>
          <w:lang w:val="fr-FR" w:eastAsia="fr-FR"/>
        </w:rPr>
        <w:t>Sahula</w:t>
      </w:r>
      <w:proofErr w:type="spellEnd"/>
      <w:r w:rsidRPr="00C976EC">
        <w:rPr>
          <w:rFonts w:ascii="Garamond" w:eastAsia="Times New Roman" w:hAnsi="Garamond" w:cs="Segoe UI"/>
          <w:color w:val="3A3A3A"/>
          <w:sz w:val="28"/>
          <w:szCs w:val="28"/>
          <w:lang w:val="fr-FR" w:eastAsia="fr-FR"/>
        </w:rPr>
        <w:t xml:space="preserve">, Ibn </w:t>
      </w:r>
      <w:proofErr w:type="spellStart"/>
      <w:r w:rsidRPr="00C976EC">
        <w:rPr>
          <w:rFonts w:ascii="Garamond" w:eastAsia="Times New Roman" w:hAnsi="Garamond" w:cs="Segoe UI"/>
          <w:color w:val="3A3A3A"/>
          <w:sz w:val="28"/>
          <w:szCs w:val="28"/>
          <w:lang w:val="fr-FR" w:eastAsia="fr-FR"/>
        </w:rPr>
        <w:t>Shu‘ayb</w:t>
      </w:r>
      <w:proofErr w:type="spellEnd"/>
      <w:r w:rsidRPr="00C976EC">
        <w:rPr>
          <w:rFonts w:ascii="Garamond" w:eastAsia="Times New Roman" w:hAnsi="Garamond" w:cs="Segoe UI"/>
          <w:color w:val="3A3A3A"/>
          <w:sz w:val="28"/>
          <w:szCs w:val="28"/>
          <w:lang w:val="fr-FR" w:eastAsia="fr-FR"/>
        </w:rPr>
        <w:t xml:space="preserve">), les tendances idéologiques se diversifient. Les écrits des frères Isaac et Jacob ha-Cohen, dont l’intermonde et les créatures démoniaques ou mythiques qui le peuplent constituent le </w:t>
      </w:r>
      <w:r w:rsidRPr="00C976EC">
        <w:rPr>
          <w:rFonts w:ascii="Garamond" w:eastAsia="Times New Roman" w:hAnsi="Garamond" w:cs="Segoe UI"/>
          <w:color w:val="3A3A3A"/>
          <w:sz w:val="28"/>
          <w:szCs w:val="28"/>
          <w:lang w:val="fr-FR" w:eastAsia="fr-FR"/>
        </w:rPr>
        <w:lastRenderedPageBreak/>
        <w:t>thème central, attestent une réaction gnostique contre la kabbale néo-platonisante. Vers 1260, on trouve sous la plume d’Abraham de Cologne (</w:t>
      </w:r>
      <w:proofErr w:type="spellStart"/>
      <w:r w:rsidRPr="00C976EC">
        <w:rPr>
          <w:rFonts w:ascii="Garamond" w:eastAsia="Times New Roman" w:hAnsi="Garamond" w:cs="Segoe UI"/>
          <w:color w:val="3A3A3A"/>
          <w:sz w:val="28"/>
          <w:szCs w:val="28"/>
          <w:lang w:val="fr-FR" w:eastAsia="fr-FR"/>
        </w:rPr>
        <w:t>Keter</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Shem</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Tob</w:t>
      </w:r>
      <w:proofErr w:type="spellEnd"/>
      <w:r w:rsidRPr="00C976EC">
        <w:rPr>
          <w:rFonts w:ascii="Garamond" w:eastAsia="Times New Roman" w:hAnsi="Garamond" w:cs="Segoe UI"/>
          <w:color w:val="3A3A3A"/>
          <w:sz w:val="28"/>
          <w:szCs w:val="28"/>
          <w:lang w:val="fr-FR" w:eastAsia="fr-FR"/>
        </w:rPr>
        <w:t>) la première mention d’une méthode de contemplation qui vise à compléter l’enseignement théorique sur les sefirot par une expérience spirituelle, fondée sur des techniques qui recourent aux noms divins et doivent conduire à l’illumination prophétique. Le plus éminent représentant de ce «</w:t>
      </w:r>
      <w:proofErr w:type="spellStart"/>
      <w:r w:rsidRPr="00C976EC">
        <w:rPr>
          <w:rFonts w:ascii="Garamond" w:eastAsia="Times New Roman" w:hAnsi="Garamond" w:cs="Segoe UI"/>
          <w:color w:val="3A3A3A"/>
          <w:sz w:val="28"/>
          <w:szCs w:val="28"/>
          <w:lang w:val="fr-FR" w:eastAsia="fr-FR"/>
        </w:rPr>
        <w:t>kabbalisme</w:t>
      </w:r>
      <w:proofErr w:type="spellEnd"/>
      <w:r w:rsidRPr="00C976EC">
        <w:rPr>
          <w:rFonts w:ascii="Garamond" w:eastAsia="Times New Roman" w:hAnsi="Garamond" w:cs="Segoe UI"/>
          <w:color w:val="3A3A3A"/>
          <w:sz w:val="28"/>
          <w:szCs w:val="28"/>
          <w:lang w:val="fr-FR" w:eastAsia="fr-FR"/>
        </w:rPr>
        <w:t xml:space="preserve"> prophétique» est Abraham </w:t>
      </w:r>
      <w:proofErr w:type="spellStart"/>
      <w:r w:rsidRPr="00C976EC">
        <w:rPr>
          <w:rFonts w:ascii="Garamond" w:eastAsia="Times New Roman" w:hAnsi="Garamond" w:cs="Segoe UI"/>
          <w:color w:val="3A3A3A"/>
          <w:sz w:val="28"/>
          <w:szCs w:val="28"/>
          <w:lang w:val="fr-FR" w:eastAsia="fr-FR"/>
        </w:rPr>
        <w:t>Abulafia</w:t>
      </w:r>
      <w:proofErr w:type="spellEnd"/>
      <w:r w:rsidRPr="00C976EC">
        <w:rPr>
          <w:rFonts w:ascii="Garamond" w:eastAsia="Times New Roman" w:hAnsi="Garamond" w:cs="Segoe UI"/>
          <w:color w:val="3A3A3A"/>
          <w:sz w:val="28"/>
          <w:szCs w:val="28"/>
          <w:lang w:val="fr-FR" w:eastAsia="fr-FR"/>
        </w:rPr>
        <w:t xml:space="preserve">, disciple de Baruch </w:t>
      </w:r>
      <w:proofErr w:type="spellStart"/>
      <w:r w:rsidRPr="00C976EC">
        <w:rPr>
          <w:rFonts w:ascii="Garamond" w:eastAsia="Times New Roman" w:hAnsi="Garamond" w:cs="Segoe UI"/>
          <w:color w:val="3A3A3A"/>
          <w:sz w:val="28"/>
          <w:szCs w:val="28"/>
          <w:lang w:val="fr-FR" w:eastAsia="fr-FR"/>
        </w:rPr>
        <w:t>Togarmi</w:t>
      </w:r>
      <w:proofErr w:type="spellEnd"/>
      <w:r w:rsidRPr="00C976EC">
        <w:rPr>
          <w:rFonts w:ascii="Garamond" w:eastAsia="Times New Roman" w:hAnsi="Garamond" w:cs="Segoe UI"/>
          <w:color w:val="3A3A3A"/>
          <w:sz w:val="28"/>
          <w:szCs w:val="28"/>
          <w:lang w:val="fr-FR" w:eastAsia="fr-FR"/>
        </w:rPr>
        <w:t>; il a laissé, en plus des écrits relatifs à cette nouvelle discipline, une interprétation mystique du Guide des égarés, œuvre du philosophe Moïse Maimonide.</w:t>
      </w:r>
    </w:p>
    <w:p w:rsidR="00C976EC" w:rsidRPr="00C976EC" w:rsidRDefault="00C976EC" w:rsidP="00005877">
      <w:pPr>
        <w:spacing w:after="0" w:line="240" w:lineRule="auto"/>
        <w:jc w:val="both"/>
        <w:outlineLvl w:val="3"/>
        <w:rPr>
          <w:rFonts w:ascii="Garamond" w:eastAsia="Times New Roman" w:hAnsi="Garamond" w:cs="Segoe UI"/>
          <w:b/>
          <w:bCs/>
          <w:color w:val="3A3A3A"/>
          <w:sz w:val="28"/>
          <w:szCs w:val="28"/>
          <w:lang w:val="fr-FR" w:eastAsia="fr-FR"/>
        </w:rPr>
      </w:pPr>
      <w:r w:rsidRPr="00C976EC">
        <w:rPr>
          <w:rFonts w:ascii="Garamond" w:eastAsia="Times New Roman" w:hAnsi="Garamond" w:cs="Segoe UI"/>
          <w:b/>
          <w:bCs/>
          <w:i/>
          <w:iCs/>
          <w:color w:val="3A3A3A"/>
          <w:sz w:val="28"/>
          <w:szCs w:val="28"/>
          <w:bdr w:val="none" w:sz="0" w:space="0" w:color="auto" w:frame="1"/>
          <w:lang w:val="fr-FR" w:eastAsia="fr-FR"/>
        </w:rPr>
        <w:t>Le «Sefer ha-</w:t>
      </w:r>
      <w:proofErr w:type="spellStart"/>
      <w:r w:rsidRPr="00C976EC">
        <w:rPr>
          <w:rFonts w:ascii="Garamond" w:eastAsia="Times New Roman" w:hAnsi="Garamond" w:cs="Segoe UI"/>
          <w:b/>
          <w:bCs/>
          <w:i/>
          <w:iCs/>
          <w:color w:val="3A3A3A"/>
          <w:sz w:val="28"/>
          <w:szCs w:val="28"/>
          <w:bdr w:val="none" w:sz="0" w:space="0" w:color="auto" w:frame="1"/>
          <w:lang w:val="fr-FR" w:eastAsia="fr-FR"/>
        </w:rPr>
        <w:t>zohar</w:t>
      </w:r>
      <w:proofErr w:type="spellEnd"/>
      <w:r w:rsidRPr="00C976EC">
        <w:rPr>
          <w:rFonts w:ascii="Garamond" w:eastAsia="Times New Roman" w:hAnsi="Garamond" w:cs="Segoe UI"/>
          <w:b/>
          <w:bCs/>
          <w:i/>
          <w:iCs/>
          <w:color w:val="3A3A3A"/>
          <w:sz w:val="28"/>
          <w:szCs w:val="28"/>
          <w:bdr w:val="none" w:sz="0" w:space="0" w:color="auto" w:frame="1"/>
          <w:lang w:val="fr-FR" w:eastAsia="fr-FR"/>
        </w:rPr>
        <w:t xml:space="preserve"> »</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Vers la même époque, entre 1260 et 1280, s’élabore le document littéraire fondamental de la kabbale d’Espagne, le Livre des splendeurs (Sefer ha-</w:t>
      </w:r>
      <w:proofErr w:type="spellStart"/>
      <w:r w:rsidRPr="00C976EC">
        <w:rPr>
          <w:rFonts w:ascii="Garamond" w:eastAsia="Times New Roman" w:hAnsi="Garamond" w:cs="Segoe UI"/>
          <w:color w:val="3A3A3A"/>
          <w:sz w:val="28"/>
          <w:szCs w:val="28"/>
          <w:lang w:val="fr-FR" w:eastAsia="fr-FR"/>
        </w:rPr>
        <w:t>zohar</w:t>
      </w:r>
      <w:proofErr w:type="spellEnd"/>
      <w:r w:rsidRPr="00C976EC">
        <w:rPr>
          <w:rFonts w:ascii="Garamond" w:eastAsia="Times New Roman" w:hAnsi="Garamond" w:cs="Segoe UI"/>
          <w:color w:val="3A3A3A"/>
          <w:sz w:val="28"/>
          <w:szCs w:val="28"/>
          <w:lang w:val="fr-FR" w:eastAsia="fr-FR"/>
        </w:rPr>
        <w:t xml:space="preserve">). Diffusée sous la forme d’un assemblage pseudépigraphe d’homélies mystiques attribuées à des autorités talmudiques, cette œuvre fut restituée par la critique moderne à son auteur véritable, le kabbaliste Moïse de León, grâce à une comparaison philologique et idéologique avec les œuvres publiées par le même auteur sous son propre nom (l’Âme intelligente, l’Arche de témoignage, </w:t>
      </w:r>
      <w:r w:rsidRPr="007E20F0">
        <w:rPr>
          <w:rFonts w:ascii="Garamond" w:eastAsia="Times New Roman" w:hAnsi="Garamond" w:cs="Segoe UI"/>
          <w:b/>
          <w:bCs/>
          <w:color w:val="3A3A3A"/>
          <w:sz w:val="28"/>
          <w:szCs w:val="28"/>
          <w:u w:val="single"/>
          <w:lang w:val="fr-FR" w:eastAsia="fr-FR"/>
        </w:rPr>
        <w:t xml:space="preserve">Le </w:t>
      </w:r>
      <w:proofErr w:type="spellStart"/>
      <w:r w:rsidR="006C317E">
        <w:rPr>
          <w:rFonts w:ascii="Garamond" w:eastAsia="Times New Roman" w:hAnsi="Garamond" w:cs="Segoe UI"/>
          <w:b/>
          <w:bCs/>
          <w:color w:val="3A3A3A"/>
          <w:sz w:val="28"/>
          <w:szCs w:val="28"/>
          <w:u w:val="single"/>
          <w:lang w:val="fr-FR" w:eastAsia="fr-FR"/>
        </w:rPr>
        <w:t>Sicle</w:t>
      </w:r>
      <w:proofErr w:type="spellEnd"/>
      <w:r w:rsidR="006C317E">
        <w:rPr>
          <w:rFonts w:ascii="Garamond" w:eastAsia="Times New Roman" w:hAnsi="Garamond" w:cs="Segoe UI"/>
          <w:b/>
          <w:bCs/>
          <w:color w:val="3A3A3A"/>
          <w:sz w:val="28"/>
          <w:szCs w:val="28"/>
          <w:u w:val="single"/>
          <w:lang w:val="fr-FR" w:eastAsia="fr-FR"/>
        </w:rPr>
        <w:t xml:space="preserve"> du sanctuaire</w:t>
      </w:r>
      <w:r w:rsidRPr="00C976EC">
        <w:rPr>
          <w:rFonts w:ascii="Garamond" w:eastAsia="Times New Roman" w:hAnsi="Garamond" w:cs="Segoe UI"/>
          <w:color w:val="3A3A3A"/>
          <w:sz w:val="28"/>
          <w:szCs w:val="28"/>
          <w:lang w:val="fr-FR" w:eastAsia="fr-FR"/>
        </w:rPr>
        <w:t>. Des trois couches successives du Zohar, deux seulement sont de Moïse de León: le Midrash ha-</w:t>
      </w:r>
      <w:proofErr w:type="spellStart"/>
      <w:r w:rsidRPr="00C976EC">
        <w:rPr>
          <w:rFonts w:ascii="Garamond" w:eastAsia="Times New Roman" w:hAnsi="Garamond" w:cs="Segoe UI"/>
          <w:color w:val="3A3A3A"/>
          <w:sz w:val="28"/>
          <w:szCs w:val="28"/>
          <w:lang w:val="fr-FR" w:eastAsia="fr-FR"/>
        </w:rPr>
        <w:t>ne‘elam</w:t>
      </w:r>
      <w:proofErr w:type="spellEnd"/>
      <w:r w:rsidRPr="00C976EC">
        <w:rPr>
          <w:rFonts w:ascii="Garamond" w:eastAsia="Times New Roman" w:hAnsi="Garamond" w:cs="Segoe UI"/>
          <w:color w:val="3A3A3A"/>
          <w:sz w:val="28"/>
          <w:szCs w:val="28"/>
          <w:lang w:val="fr-FR" w:eastAsia="fr-FR"/>
        </w:rPr>
        <w:t>, qui en constitue la première et qui est rédigé en grande partie en hébreu, dans le style d’une philosophie allégorisante; et les pièces principales (</w:t>
      </w:r>
      <w:proofErr w:type="spellStart"/>
      <w:r w:rsidRPr="00C976EC">
        <w:rPr>
          <w:rFonts w:ascii="Garamond" w:eastAsia="Times New Roman" w:hAnsi="Garamond" w:cs="Segoe UI"/>
          <w:color w:val="3A3A3A"/>
          <w:sz w:val="28"/>
          <w:szCs w:val="28"/>
          <w:lang w:val="fr-FR" w:eastAsia="fr-FR"/>
        </w:rPr>
        <w:t>Idra</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Rabba</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Idra-</w:t>
      </w:r>
      <w:proofErr w:type="gramStart"/>
      <w:r w:rsidRPr="00C976EC">
        <w:rPr>
          <w:rFonts w:ascii="Garamond" w:eastAsia="Times New Roman" w:hAnsi="Garamond" w:cs="Segoe UI"/>
          <w:color w:val="3A3A3A"/>
          <w:sz w:val="28"/>
          <w:szCs w:val="28"/>
          <w:lang w:val="fr-FR" w:eastAsia="fr-FR"/>
        </w:rPr>
        <w:t>Zuta</w:t>
      </w:r>
      <w:proofErr w:type="spellEnd"/>
      <w:r w:rsidRPr="00C976EC">
        <w:rPr>
          <w:rFonts w:ascii="Garamond" w:eastAsia="Times New Roman" w:hAnsi="Garamond" w:cs="Segoe UI"/>
          <w:color w:val="3A3A3A"/>
          <w:sz w:val="28"/>
          <w:szCs w:val="28"/>
          <w:lang w:val="fr-FR" w:eastAsia="fr-FR"/>
        </w:rPr>
        <w:t xml:space="preserve"> )</w:t>
      </w:r>
      <w:proofErr w:type="gramEnd"/>
      <w:r w:rsidRPr="00C976EC">
        <w:rPr>
          <w:rFonts w:ascii="Garamond" w:eastAsia="Times New Roman" w:hAnsi="Garamond" w:cs="Segoe UI"/>
          <w:color w:val="3A3A3A"/>
          <w:sz w:val="28"/>
          <w:szCs w:val="28"/>
          <w:lang w:val="fr-FR" w:eastAsia="fr-FR"/>
        </w:rPr>
        <w:t xml:space="preserve">, homélies mystiques </w:t>
      </w:r>
      <w:r w:rsidRPr="00C976EC">
        <w:rPr>
          <w:rFonts w:ascii="Garamond" w:eastAsia="Times New Roman" w:hAnsi="Garamond" w:cs="Segoe UI"/>
          <w:color w:val="3A3A3A"/>
          <w:sz w:val="28"/>
          <w:szCs w:val="28"/>
          <w:lang w:val="fr-FR" w:eastAsia="fr-FR"/>
        </w:rPr>
        <w:lastRenderedPageBreak/>
        <w:t>écrites dans un araméen archaïsant dont le caractère artificiel trahit la reconstruction littéraire. La troisième couche (</w:t>
      </w:r>
      <w:proofErr w:type="spellStart"/>
      <w:r w:rsidRPr="00C976EC">
        <w:rPr>
          <w:rFonts w:ascii="Garamond" w:eastAsia="Times New Roman" w:hAnsi="Garamond" w:cs="Segoe UI"/>
          <w:color w:val="3A3A3A"/>
          <w:sz w:val="28"/>
          <w:szCs w:val="28"/>
          <w:lang w:val="fr-FR" w:eastAsia="fr-FR"/>
        </w:rPr>
        <w:t>Ra‘ya</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mehemna</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Tiqquney</w:t>
      </w:r>
      <w:proofErr w:type="spellEnd"/>
      <w:r w:rsidRPr="00C976EC">
        <w:rPr>
          <w:rFonts w:ascii="Garamond" w:eastAsia="Times New Roman" w:hAnsi="Garamond" w:cs="Segoe UI"/>
          <w:color w:val="3A3A3A"/>
          <w:sz w:val="28"/>
          <w:szCs w:val="28"/>
          <w:lang w:val="fr-FR" w:eastAsia="fr-FR"/>
        </w:rPr>
        <w:t xml:space="preserve"> </w:t>
      </w:r>
      <w:proofErr w:type="spellStart"/>
      <w:proofErr w:type="gramStart"/>
      <w:r w:rsidRPr="00C976EC">
        <w:rPr>
          <w:rFonts w:ascii="Garamond" w:eastAsia="Times New Roman" w:hAnsi="Garamond" w:cs="Segoe UI"/>
          <w:color w:val="3A3A3A"/>
          <w:sz w:val="28"/>
          <w:szCs w:val="28"/>
          <w:lang w:val="fr-FR" w:eastAsia="fr-FR"/>
        </w:rPr>
        <w:t>zohar</w:t>
      </w:r>
      <w:proofErr w:type="spellEnd"/>
      <w:r w:rsidRPr="00C976EC">
        <w:rPr>
          <w:rFonts w:ascii="Garamond" w:eastAsia="Times New Roman" w:hAnsi="Garamond" w:cs="Segoe UI"/>
          <w:color w:val="3A3A3A"/>
          <w:sz w:val="28"/>
          <w:szCs w:val="28"/>
          <w:lang w:val="fr-FR" w:eastAsia="fr-FR"/>
        </w:rPr>
        <w:t xml:space="preserve"> )</w:t>
      </w:r>
      <w:proofErr w:type="gramEnd"/>
      <w:r w:rsidRPr="00C976EC">
        <w:rPr>
          <w:rFonts w:ascii="Garamond" w:eastAsia="Times New Roman" w:hAnsi="Garamond" w:cs="Segoe UI"/>
          <w:color w:val="3A3A3A"/>
          <w:sz w:val="28"/>
          <w:szCs w:val="28"/>
          <w:lang w:val="fr-FR" w:eastAsia="fr-FR"/>
        </w:rPr>
        <w:t xml:space="preserve"> est postérieure à Moïse de León et présente d’importantes divergences idéologiques par rapport aux deux autres. Du point de vue doctrinal, le Zohar marque un retour à la tendance mythologique des premiers documents de la kabbale (Sefer ha-</w:t>
      </w:r>
      <w:proofErr w:type="spellStart"/>
      <w:r w:rsidRPr="00C976EC">
        <w:rPr>
          <w:rFonts w:ascii="Garamond" w:eastAsia="Times New Roman" w:hAnsi="Garamond" w:cs="Segoe UI"/>
          <w:color w:val="3A3A3A"/>
          <w:sz w:val="28"/>
          <w:szCs w:val="28"/>
          <w:lang w:val="fr-FR" w:eastAsia="fr-FR"/>
        </w:rPr>
        <w:t>bahir</w:t>
      </w:r>
      <w:proofErr w:type="spellEnd"/>
      <w:r w:rsidRPr="00C976EC">
        <w:rPr>
          <w:rFonts w:ascii="Garamond" w:eastAsia="Times New Roman" w:hAnsi="Garamond" w:cs="Segoe UI"/>
          <w:color w:val="3A3A3A"/>
          <w:sz w:val="28"/>
          <w:szCs w:val="28"/>
          <w:lang w:val="fr-FR" w:eastAsia="fr-FR"/>
        </w:rPr>
        <w:t xml:space="preserve">). Les spéculations sur les sefirot, enrichies d’inépuisables variations d’exégèse mystique, sont centrées sur les thèmes gnostiques du mal, dont la racine est introduite à l’intérieur même du monde divin; sur la Présence, élément féminin du monde séfirotique, et son union avec l’Époux. Cette syzygie, qui assure l’unité du monde divin et son reflet, l’harmonie cosmique, exige la participation des énergies spirituelles du mystique par l’accomplissement des commandements. On </w:t>
      </w:r>
      <w:r w:rsidR="006C317E">
        <w:rPr>
          <w:rFonts w:ascii="Garamond" w:eastAsia="Times New Roman" w:hAnsi="Garamond" w:cs="Segoe UI"/>
          <w:color w:val="3A3A3A"/>
          <w:sz w:val="28"/>
          <w:szCs w:val="28"/>
          <w:lang w:val="fr-FR" w:eastAsia="fr-FR"/>
        </w:rPr>
        <w:t>trouve</w:t>
      </w:r>
      <w:r w:rsidRPr="00C976EC">
        <w:rPr>
          <w:rFonts w:ascii="Garamond" w:eastAsia="Times New Roman" w:hAnsi="Garamond" w:cs="Segoe UI"/>
          <w:color w:val="3A3A3A"/>
          <w:sz w:val="28"/>
          <w:szCs w:val="28"/>
          <w:lang w:val="fr-FR" w:eastAsia="fr-FR"/>
        </w:rPr>
        <w:t xml:space="preserve"> un exposé systématique de la symbolique du Zohar dans l’œuvre principale d’un contemporain de Moïse de León, le kabbaliste Joseph Ibn </w:t>
      </w:r>
      <w:proofErr w:type="spellStart"/>
      <w:r w:rsidRPr="00C976EC">
        <w:rPr>
          <w:rFonts w:ascii="Garamond" w:eastAsia="Times New Roman" w:hAnsi="Garamond" w:cs="Segoe UI"/>
          <w:color w:val="3A3A3A"/>
          <w:sz w:val="28"/>
          <w:szCs w:val="28"/>
          <w:lang w:val="fr-FR" w:eastAsia="fr-FR"/>
        </w:rPr>
        <w:t>Giqatilia</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Sha‘arey</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Orah</w:t>
      </w:r>
      <w:proofErr w:type="spellEnd"/>
      <w:r w:rsidRPr="00C976EC">
        <w:rPr>
          <w:rFonts w:ascii="Garamond" w:eastAsia="Times New Roman" w:hAnsi="Garamond" w:cs="Segoe UI"/>
          <w:color w:val="3A3A3A"/>
          <w:sz w:val="28"/>
          <w:szCs w:val="28"/>
          <w:lang w:val="fr-FR" w:eastAsia="fr-FR"/>
        </w:rPr>
        <w:t>).</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 xml:space="preserve">Cette période créatrice que fut le XIIIe siècle est suivie d’un siècle d’intense activité littéraire consacrée aux élaborations doctrinales et aux commentaires des œuvres de la première </w:t>
      </w:r>
      <w:r w:rsidR="006C317E" w:rsidRPr="00C976EC">
        <w:rPr>
          <w:rFonts w:ascii="Garamond" w:eastAsia="Times New Roman" w:hAnsi="Garamond" w:cs="Segoe UI"/>
          <w:color w:val="3A3A3A"/>
          <w:sz w:val="28"/>
          <w:szCs w:val="28"/>
          <w:lang w:val="fr-FR" w:eastAsia="fr-FR"/>
        </w:rPr>
        <w:t>génération ;</w:t>
      </w:r>
      <w:r w:rsidRPr="00C976EC">
        <w:rPr>
          <w:rFonts w:ascii="Garamond" w:eastAsia="Times New Roman" w:hAnsi="Garamond" w:cs="Segoe UI"/>
          <w:color w:val="3A3A3A"/>
          <w:sz w:val="28"/>
          <w:szCs w:val="28"/>
          <w:lang w:val="fr-FR" w:eastAsia="fr-FR"/>
        </w:rPr>
        <w:t xml:space="preserve"> les auteurs en sont </w:t>
      </w:r>
      <w:proofErr w:type="spellStart"/>
      <w:r w:rsidRPr="00C976EC">
        <w:rPr>
          <w:rFonts w:ascii="Garamond" w:eastAsia="Times New Roman" w:hAnsi="Garamond" w:cs="Segoe UI"/>
          <w:color w:val="3A3A3A"/>
          <w:sz w:val="28"/>
          <w:szCs w:val="28"/>
          <w:lang w:val="fr-FR" w:eastAsia="fr-FR"/>
        </w:rPr>
        <w:t>Bahya</w:t>
      </w:r>
      <w:proofErr w:type="spellEnd"/>
      <w:r w:rsidRPr="00C976EC">
        <w:rPr>
          <w:rFonts w:ascii="Garamond" w:eastAsia="Times New Roman" w:hAnsi="Garamond" w:cs="Segoe UI"/>
          <w:color w:val="3A3A3A"/>
          <w:sz w:val="28"/>
          <w:szCs w:val="28"/>
          <w:lang w:val="fr-FR" w:eastAsia="fr-FR"/>
        </w:rPr>
        <w:t xml:space="preserve"> ben </w:t>
      </w:r>
      <w:proofErr w:type="spellStart"/>
      <w:r w:rsidRPr="00C976EC">
        <w:rPr>
          <w:rFonts w:ascii="Garamond" w:eastAsia="Times New Roman" w:hAnsi="Garamond" w:cs="Segoe UI"/>
          <w:color w:val="3A3A3A"/>
          <w:sz w:val="28"/>
          <w:szCs w:val="28"/>
          <w:lang w:val="fr-FR" w:eastAsia="fr-FR"/>
        </w:rPr>
        <w:t>Asher</w:t>
      </w:r>
      <w:proofErr w:type="spellEnd"/>
      <w:r w:rsidRPr="00C976EC">
        <w:rPr>
          <w:rFonts w:ascii="Garamond" w:eastAsia="Times New Roman" w:hAnsi="Garamond" w:cs="Segoe UI"/>
          <w:color w:val="3A3A3A"/>
          <w:sz w:val="28"/>
          <w:szCs w:val="28"/>
          <w:lang w:val="fr-FR" w:eastAsia="fr-FR"/>
        </w:rPr>
        <w:t>, Isaac d’</w:t>
      </w:r>
      <w:proofErr w:type="spellStart"/>
      <w:r w:rsidRPr="00C976EC">
        <w:rPr>
          <w:rFonts w:ascii="Garamond" w:eastAsia="Times New Roman" w:hAnsi="Garamond" w:cs="Segoe UI"/>
          <w:color w:val="3A3A3A"/>
          <w:sz w:val="28"/>
          <w:szCs w:val="28"/>
          <w:lang w:val="fr-FR" w:eastAsia="fr-FR"/>
        </w:rPr>
        <w:t>Acco</w:t>
      </w:r>
      <w:proofErr w:type="spellEnd"/>
      <w:r w:rsidRPr="00C976EC">
        <w:rPr>
          <w:rFonts w:ascii="Garamond" w:eastAsia="Times New Roman" w:hAnsi="Garamond" w:cs="Segoe UI"/>
          <w:color w:val="3A3A3A"/>
          <w:sz w:val="28"/>
          <w:szCs w:val="28"/>
          <w:lang w:val="fr-FR" w:eastAsia="fr-FR"/>
        </w:rPr>
        <w:t xml:space="preserve"> – de l’école de </w:t>
      </w:r>
      <w:proofErr w:type="spellStart"/>
      <w:r w:rsidRPr="00C976EC">
        <w:rPr>
          <w:rFonts w:ascii="Garamond" w:eastAsia="Times New Roman" w:hAnsi="Garamond" w:cs="Segoe UI"/>
          <w:color w:val="3A3A3A"/>
          <w:sz w:val="28"/>
          <w:szCs w:val="28"/>
          <w:lang w:val="fr-FR" w:eastAsia="fr-FR"/>
        </w:rPr>
        <w:t>Nahmanide</w:t>
      </w:r>
      <w:proofErr w:type="spellEnd"/>
      <w:r w:rsidRPr="00C976EC">
        <w:rPr>
          <w:rFonts w:ascii="Garamond" w:eastAsia="Times New Roman" w:hAnsi="Garamond" w:cs="Segoe UI"/>
          <w:color w:val="3A3A3A"/>
          <w:sz w:val="28"/>
          <w:szCs w:val="28"/>
          <w:lang w:val="fr-FR" w:eastAsia="fr-FR"/>
        </w:rPr>
        <w:t xml:space="preserve"> – et Menahem de </w:t>
      </w:r>
      <w:proofErr w:type="spellStart"/>
      <w:r w:rsidRPr="00C976EC">
        <w:rPr>
          <w:rFonts w:ascii="Garamond" w:eastAsia="Times New Roman" w:hAnsi="Garamond" w:cs="Segoe UI"/>
          <w:color w:val="3A3A3A"/>
          <w:sz w:val="28"/>
          <w:szCs w:val="28"/>
          <w:lang w:val="fr-FR" w:eastAsia="fr-FR"/>
        </w:rPr>
        <w:t>Recanati</w:t>
      </w:r>
      <w:proofErr w:type="spellEnd"/>
      <w:r w:rsidRPr="00C976EC">
        <w:rPr>
          <w:rFonts w:ascii="Garamond" w:eastAsia="Times New Roman" w:hAnsi="Garamond" w:cs="Segoe UI"/>
          <w:color w:val="3A3A3A"/>
          <w:sz w:val="28"/>
          <w:szCs w:val="28"/>
          <w:lang w:val="fr-FR" w:eastAsia="fr-FR"/>
        </w:rPr>
        <w:t xml:space="preserve"> en Italie. Vers le milieu du siècle, les œuvres de Joseph Ibn </w:t>
      </w:r>
      <w:proofErr w:type="spellStart"/>
      <w:r w:rsidRPr="00C976EC">
        <w:rPr>
          <w:rFonts w:ascii="Garamond" w:eastAsia="Times New Roman" w:hAnsi="Garamond" w:cs="Segoe UI"/>
          <w:color w:val="3A3A3A"/>
          <w:sz w:val="28"/>
          <w:szCs w:val="28"/>
          <w:lang w:val="fr-FR" w:eastAsia="fr-FR"/>
        </w:rPr>
        <w:t>Waqar</w:t>
      </w:r>
      <w:proofErr w:type="spellEnd"/>
      <w:r w:rsidRPr="00C976EC">
        <w:rPr>
          <w:rFonts w:ascii="Garamond" w:eastAsia="Times New Roman" w:hAnsi="Garamond" w:cs="Segoe UI"/>
          <w:color w:val="3A3A3A"/>
          <w:sz w:val="28"/>
          <w:szCs w:val="28"/>
          <w:lang w:val="fr-FR" w:eastAsia="fr-FR"/>
        </w:rPr>
        <w:t xml:space="preserve"> (1350) et de Juda ben Nissim Ibn Malka représentent un courant d’interprétation philosophique des thèses kabbalistiques. Ces tentatives en vue de concilier les doctrines aristotéliciennes et théosophiques sont les </w:t>
      </w:r>
      <w:r w:rsidRPr="00C976EC">
        <w:rPr>
          <w:rFonts w:ascii="Garamond" w:eastAsia="Times New Roman" w:hAnsi="Garamond" w:cs="Segoe UI"/>
          <w:color w:val="3A3A3A"/>
          <w:sz w:val="28"/>
          <w:szCs w:val="28"/>
          <w:lang w:val="fr-FR" w:eastAsia="fr-FR"/>
        </w:rPr>
        <w:lastRenderedPageBreak/>
        <w:t xml:space="preserve">dernières productions originales de la kabbale d’Espagne. Déjà considérablement ralentie au cours du XVe siècle, l’activité des centres espagnols s’éteignit définitivement avec l’expulsion des Juifs de la péninsule Ibérique en 1492. Le grand compendium kabbalistique de </w:t>
      </w:r>
      <w:proofErr w:type="spellStart"/>
      <w:r w:rsidRPr="00C976EC">
        <w:rPr>
          <w:rFonts w:ascii="Garamond" w:eastAsia="Times New Roman" w:hAnsi="Garamond" w:cs="Segoe UI"/>
          <w:color w:val="3A3A3A"/>
          <w:sz w:val="28"/>
          <w:szCs w:val="28"/>
          <w:lang w:val="fr-FR" w:eastAsia="fr-FR"/>
        </w:rPr>
        <w:t>Méir</w:t>
      </w:r>
      <w:proofErr w:type="spellEnd"/>
      <w:r w:rsidRPr="00C976EC">
        <w:rPr>
          <w:rFonts w:ascii="Garamond" w:eastAsia="Times New Roman" w:hAnsi="Garamond" w:cs="Segoe UI"/>
          <w:color w:val="3A3A3A"/>
          <w:sz w:val="28"/>
          <w:szCs w:val="28"/>
          <w:lang w:val="fr-FR" w:eastAsia="fr-FR"/>
        </w:rPr>
        <w:t xml:space="preserve"> Ibn </w:t>
      </w:r>
      <w:proofErr w:type="spellStart"/>
      <w:r w:rsidRPr="00C976EC">
        <w:rPr>
          <w:rFonts w:ascii="Garamond" w:eastAsia="Times New Roman" w:hAnsi="Garamond" w:cs="Segoe UI"/>
          <w:color w:val="3A3A3A"/>
          <w:sz w:val="28"/>
          <w:szCs w:val="28"/>
          <w:lang w:val="fr-FR" w:eastAsia="fr-FR"/>
        </w:rPr>
        <w:t>Gabbay</w:t>
      </w:r>
      <w:proofErr w:type="spellEnd"/>
      <w:r w:rsidRPr="00C976EC">
        <w:rPr>
          <w:rFonts w:ascii="Garamond" w:eastAsia="Times New Roman" w:hAnsi="Garamond" w:cs="Segoe UI"/>
          <w:color w:val="3A3A3A"/>
          <w:sz w:val="28"/>
          <w:szCs w:val="28"/>
          <w:lang w:val="fr-FR" w:eastAsia="fr-FR"/>
        </w:rPr>
        <w:t xml:space="preserve"> (Espagne, 1480) fut déjà terminé en exil (</w:t>
      </w:r>
      <w:proofErr w:type="spellStart"/>
      <w:r w:rsidRPr="00C976EC">
        <w:rPr>
          <w:rFonts w:ascii="Garamond" w:eastAsia="Times New Roman" w:hAnsi="Garamond" w:cs="Segoe UI"/>
          <w:color w:val="3A3A3A"/>
          <w:sz w:val="28"/>
          <w:szCs w:val="28"/>
          <w:lang w:val="fr-FR" w:eastAsia="fr-FR"/>
        </w:rPr>
        <w:t>Derekh</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Emunah</w:t>
      </w:r>
      <w:proofErr w:type="spellEnd"/>
      <w:r w:rsidRPr="00C976EC">
        <w:rPr>
          <w:rFonts w:ascii="Garamond" w:eastAsia="Times New Roman" w:hAnsi="Garamond" w:cs="Segoe UI"/>
          <w:color w:val="3A3A3A"/>
          <w:sz w:val="28"/>
          <w:szCs w:val="28"/>
          <w:lang w:val="fr-FR" w:eastAsia="fr-FR"/>
        </w:rPr>
        <w:t>, 1530).</w:t>
      </w:r>
    </w:p>
    <w:p w:rsidR="00C976EC" w:rsidRPr="00C976EC" w:rsidRDefault="00C976EC" w:rsidP="00005877">
      <w:pPr>
        <w:spacing w:after="0" w:line="288" w:lineRule="atLeast"/>
        <w:jc w:val="both"/>
        <w:outlineLvl w:val="1"/>
        <w:rPr>
          <w:rFonts w:ascii="Garamond" w:eastAsia="Times New Roman" w:hAnsi="Garamond" w:cs="Segoe UI"/>
          <w:b/>
          <w:bCs/>
          <w:color w:val="3A3A3A"/>
          <w:sz w:val="28"/>
          <w:szCs w:val="28"/>
          <w:lang w:val="fr-FR" w:eastAsia="fr-FR"/>
        </w:rPr>
      </w:pPr>
      <w:r w:rsidRPr="00C976EC">
        <w:rPr>
          <w:rFonts w:ascii="Garamond" w:eastAsia="Times New Roman" w:hAnsi="Garamond" w:cs="Segoe UI"/>
          <w:b/>
          <w:bCs/>
          <w:color w:val="3A3A3A"/>
          <w:sz w:val="28"/>
          <w:szCs w:val="28"/>
          <w:bdr w:val="none" w:sz="0" w:space="0" w:color="auto" w:frame="1"/>
          <w:lang w:val="fr-FR" w:eastAsia="fr-FR"/>
        </w:rPr>
        <w:t>Du XVIe siècle à l’époque contemporaine </w:t>
      </w:r>
    </w:p>
    <w:p w:rsid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L’expulsion d’Espagne se répercuta profondément sur l’évolution de la kabbale. De mouvement purement spéculatif et réservé à une élite intellectuelle, elle se transforma sous l’effet de la catastrophe historique et sociale en un mouvement messianique touchant de larges couches populaires. Elle fut considérée comme le facteur principal du rétablissement de l’équilibre initial et de l’événement messianique qui en est le corollaire; dans certaines branches radicales, elle fut consciemment utilisée pour influer sur le cours de l’histoire.</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b/>
          <w:bCs/>
          <w:i/>
          <w:iCs/>
          <w:color w:val="3A3A3A"/>
          <w:sz w:val="28"/>
          <w:szCs w:val="28"/>
          <w:bdr w:val="none" w:sz="0" w:space="0" w:color="auto" w:frame="1"/>
          <w:lang w:val="fr-FR" w:eastAsia="fr-FR"/>
        </w:rPr>
        <w:t>L’école de Safed et Isaac Luria</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 xml:space="preserve">À partir de 1530, le centre du renouveau doctrinal est Safed, petite ville de Galilée. Les idées théosophiques pénètrent toutes les </w:t>
      </w:r>
      <w:r w:rsidR="006C317E" w:rsidRPr="00C976EC">
        <w:rPr>
          <w:rFonts w:ascii="Garamond" w:eastAsia="Times New Roman" w:hAnsi="Garamond" w:cs="Segoe UI"/>
          <w:color w:val="3A3A3A"/>
          <w:sz w:val="28"/>
          <w:szCs w:val="28"/>
          <w:lang w:val="fr-FR" w:eastAsia="fr-FR"/>
        </w:rPr>
        <w:t>disciplines ;</w:t>
      </w:r>
      <w:r w:rsidRPr="00C976EC">
        <w:rPr>
          <w:rFonts w:ascii="Garamond" w:eastAsia="Times New Roman" w:hAnsi="Garamond" w:cs="Segoe UI"/>
          <w:color w:val="3A3A3A"/>
          <w:sz w:val="28"/>
          <w:szCs w:val="28"/>
          <w:lang w:val="fr-FR" w:eastAsia="fr-FR"/>
        </w:rPr>
        <w:t xml:space="preserve"> même des juristes comme Joseph </w:t>
      </w:r>
      <w:proofErr w:type="spellStart"/>
      <w:r w:rsidRPr="00C976EC">
        <w:rPr>
          <w:rFonts w:ascii="Garamond" w:eastAsia="Times New Roman" w:hAnsi="Garamond" w:cs="Segoe UI"/>
          <w:color w:val="3A3A3A"/>
          <w:sz w:val="28"/>
          <w:szCs w:val="28"/>
          <w:lang w:val="fr-FR" w:eastAsia="fr-FR"/>
        </w:rPr>
        <w:t>Karo</w:t>
      </w:r>
      <w:proofErr w:type="spellEnd"/>
      <w:r w:rsidRPr="00C976EC">
        <w:rPr>
          <w:rFonts w:ascii="Garamond" w:eastAsia="Times New Roman" w:hAnsi="Garamond" w:cs="Segoe UI"/>
          <w:color w:val="3A3A3A"/>
          <w:sz w:val="28"/>
          <w:szCs w:val="28"/>
          <w:lang w:val="fr-FR" w:eastAsia="fr-FR"/>
        </w:rPr>
        <w:t xml:space="preserve"> se situent sur le terrain de la kabbale et se réclament, comme plusieurs de leurs contemporains, de révélations personnelles. Le penseur le plus significatif de la première période de Safed est Moïse </w:t>
      </w:r>
      <w:proofErr w:type="spellStart"/>
      <w:r w:rsidRPr="00C976EC">
        <w:rPr>
          <w:rFonts w:ascii="Garamond" w:eastAsia="Times New Roman" w:hAnsi="Garamond" w:cs="Segoe UI"/>
          <w:color w:val="3A3A3A"/>
          <w:sz w:val="28"/>
          <w:szCs w:val="28"/>
          <w:lang w:val="fr-FR" w:eastAsia="fr-FR"/>
        </w:rPr>
        <w:t>Cordovero</w:t>
      </w:r>
      <w:proofErr w:type="spellEnd"/>
      <w:r w:rsidRPr="00C976EC">
        <w:rPr>
          <w:rFonts w:ascii="Garamond" w:eastAsia="Times New Roman" w:hAnsi="Garamond" w:cs="Segoe UI"/>
          <w:color w:val="3A3A3A"/>
          <w:sz w:val="28"/>
          <w:szCs w:val="28"/>
          <w:lang w:val="fr-FR" w:eastAsia="fr-FR"/>
        </w:rPr>
        <w:t xml:space="preserve"> (1522-1570). Son </w:t>
      </w:r>
      <w:r w:rsidRPr="00C976EC">
        <w:rPr>
          <w:rFonts w:ascii="Garamond" w:eastAsia="Times New Roman" w:hAnsi="Garamond" w:cs="Segoe UI"/>
          <w:color w:val="3A3A3A"/>
          <w:sz w:val="28"/>
          <w:szCs w:val="28"/>
          <w:lang w:val="fr-FR" w:eastAsia="fr-FR"/>
        </w:rPr>
        <w:lastRenderedPageBreak/>
        <w:t xml:space="preserve">œuvre principale, le </w:t>
      </w:r>
      <w:proofErr w:type="spellStart"/>
      <w:r w:rsidRPr="00C976EC">
        <w:rPr>
          <w:rFonts w:ascii="Garamond" w:eastAsia="Times New Roman" w:hAnsi="Garamond" w:cs="Segoe UI"/>
          <w:color w:val="3A3A3A"/>
          <w:sz w:val="28"/>
          <w:szCs w:val="28"/>
          <w:lang w:val="fr-FR" w:eastAsia="fr-FR"/>
        </w:rPr>
        <w:t>Pardes</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rimonim</w:t>
      </w:r>
      <w:proofErr w:type="spellEnd"/>
      <w:r w:rsidRPr="00C976EC">
        <w:rPr>
          <w:rFonts w:ascii="Garamond" w:eastAsia="Times New Roman" w:hAnsi="Garamond" w:cs="Segoe UI"/>
          <w:color w:val="3A3A3A"/>
          <w:sz w:val="28"/>
          <w:szCs w:val="28"/>
          <w:lang w:val="fr-FR" w:eastAsia="fr-FR"/>
        </w:rPr>
        <w:t xml:space="preserve"> (Jardin des grenades, 1548), véritable somme de l’enseignement de la nouvelle école marque déjà, tout en se référant au Zohar, d’importants écarts par rapport à la kabbale d’Espagne.</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 xml:space="preserve">Le personnage central dont l’influence donne à la théosophie de Safed une orientation nouvelle est Isaac Luria (1534-1572). Son enseignement, entièrement oral, a été conservé dans la rédaction écrite </w:t>
      </w:r>
      <w:r w:rsidR="006C317E">
        <w:rPr>
          <w:rFonts w:ascii="Garamond" w:eastAsia="Times New Roman" w:hAnsi="Garamond" w:cs="Segoe UI"/>
          <w:color w:val="3A3A3A"/>
          <w:sz w:val="28"/>
          <w:szCs w:val="28"/>
          <w:lang w:val="fr-FR" w:eastAsia="fr-FR"/>
        </w:rPr>
        <w:t>produite</w:t>
      </w:r>
      <w:r w:rsidRPr="00C976EC">
        <w:rPr>
          <w:rFonts w:ascii="Garamond" w:eastAsia="Times New Roman" w:hAnsi="Garamond" w:cs="Segoe UI"/>
          <w:color w:val="3A3A3A"/>
          <w:sz w:val="28"/>
          <w:szCs w:val="28"/>
          <w:lang w:val="fr-FR" w:eastAsia="fr-FR"/>
        </w:rPr>
        <w:t xml:space="preserve"> son disciple </w:t>
      </w:r>
      <w:proofErr w:type="spellStart"/>
      <w:r w:rsidRPr="00C976EC">
        <w:rPr>
          <w:rFonts w:ascii="Garamond" w:eastAsia="Times New Roman" w:hAnsi="Garamond" w:cs="Segoe UI"/>
          <w:color w:val="3A3A3A"/>
          <w:sz w:val="28"/>
          <w:szCs w:val="28"/>
          <w:lang w:val="fr-FR" w:eastAsia="fr-FR"/>
        </w:rPr>
        <w:t>Hayyim</w:t>
      </w:r>
      <w:proofErr w:type="spellEnd"/>
      <w:r w:rsidRPr="00C976EC">
        <w:rPr>
          <w:rFonts w:ascii="Garamond" w:eastAsia="Times New Roman" w:hAnsi="Garamond" w:cs="Segoe UI"/>
          <w:color w:val="3A3A3A"/>
          <w:sz w:val="28"/>
          <w:szCs w:val="28"/>
          <w:lang w:val="fr-FR" w:eastAsia="fr-FR"/>
        </w:rPr>
        <w:t xml:space="preserve"> Vitale (mort en 1620). En plaçant à l’origine du monde le drame cosmologique de la rétraction (</w:t>
      </w:r>
      <w:proofErr w:type="spellStart"/>
      <w:r w:rsidRPr="00C976EC">
        <w:rPr>
          <w:rFonts w:ascii="Garamond" w:eastAsia="Times New Roman" w:hAnsi="Garamond" w:cs="Segoe UI"/>
          <w:color w:val="3A3A3A"/>
          <w:sz w:val="28"/>
          <w:szCs w:val="28"/>
          <w:lang w:val="fr-FR" w:eastAsia="fr-FR"/>
        </w:rPr>
        <w:t>simsum</w:t>
      </w:r>
      <w:proofErr w:type="spellEnd"/>
      <w:r w:rsidRPr="00C976EC">
        <w:rPr>
          <w:rFonts w:ascii="Garamond" w:eastAsia="Times New Roman" w:hAnsi="Garamond" w:cs="Segoe UI"/>
          <w:color w:val="3A3A3A"/>
          <w:sz w:val="28"/>
          <w:szCs w:val="28"/>
          <w:lang w:val="fr-FR" w:eastAsia="fr-FR"/>
        </w:rPr>
        <w:t xml:space="preserve">) de la lumière </w:t>
      </w:r>
      <w:r w:rsidR="006C317E" w:rsidRPr="00C976EC">
        <w:rPr>
          <w:rFonts w:ascii="Garamond" w:eastAsia="Times New Roman" w:hAnsi="Garamond" w:cs="Segoe UI"/>
          <w:color w:val="3A3A3A"/>
          <w:sz w:val="28"/>
          <w:szCs w:val="28"/>
          <w:lang w:val="fr-FR" w:eastAsia="fr-FR"/>
        </w:rPr>
        <w:t>divine ;</w:t>
      </w:r>
      <w:r w:rsidRPr="00C976EC">
        <w:rPr>
          <w:rFonts w:ascii="Garamond" w:eastAsia="Times New Roman" w:hAnsi="Garamond" w:cs="Segoe UI"/>
          <w:color w:val="3A3A3A"/>
          <w:sz w:val="28"/>
          <w:szCs w:val="28"/>
          <w:lang w:val="fr-FR" w:eastAsia="fr-FR"/>
        </w:rPr>
        <w:t xml:space="preserve"> en enseignant la formation de l’univers actuel après l’échec de plusieurs tentatives de création, et le drame psychologique qui s’ensuivit – la chute de l’âme primordiale, fragmentée depuis son exil, et sa réintégration progressive –, la doctrine </w:t>
      </w:r>
      <w:proofErr w:type="spellStart"/>
      <w:r w:rsidRPr="00C976EC">
        <w:rPr>
          <w:rFonts w:ascii="Garamond" w:eastAsia="Times New Roman" w:hAnsi="Garamond" w:cs="Segoe UI"/>
          <w:color w:val="3A3A3A"/>
          <w:sz w:val="28"/>
          <w:szCs w:val="28"/>
          <w:lang w:val="fr-FR" w:eastAsia="fr-FR"/>
        </w:rPr>
        <w:t>lurianiste</w:t>
      </w:r>
      <w:proofErr w:type="spellEnd"/>
      <w:r w:rsidRPr="00C976EC">
        <w:rPr>
          <w:rFonts w:ascii="Garamond" w:eastAsia="Times New Roman" w:hAnsi="Garamond" w:cs="Segoe UI"/>
          <w:color w:val="3A3A3A"/>
          <w:sz w:val="28"/>
          <w:szCs w:val="28"/>
          <w:lang w:val="fr-FR" w:eastAsia="fr-FR"/>
        </w:rPr>
        <w:t xml:space="preserve"> marque un nouvel épanouissement de la tendance gnostique dans la kabbale. La technique de contemplation fondée sur l’oraison méditative, qui apparut déjà en Espagne, sera élaborée en tant que discipline spirituelle principale et considérée comme telle. Plus que tout autre système, le lurianisme est centré sur une perspective messianique, qui ne tardera pas à dévier dans des mouvements hétérodoxes en actualisant les tendances apocalyptiques dans la conscience populaire. En dehors de la Palestine, l’enseignement de Luria est diffusé en Italie par son disciple Israël </w:t>
      </w:r>
      <w:proofErr w:type="spellStart"/>
      <w:r w:rsidRPr="00C976EC">
        <w:rPr>
          <w:rFonts w:ascii="Garamond" w:eastAsia="Times New Roman" w:hAnsi="Garamond" w:cs="Segoe UI"/>
          <w:color w:val="3A3A3A"/>
          <w:sz w:val="28"/>
          <w:szCs w:val="28"/>
          <w:lang w:val="fr-FR" w:eastAsia="fr-FR"/>
        </w:rPr>
        <w:t>Sarug</w:t>
      </w:r>
      <w:proofErr w:type="spellEnd"/>
      <w:r w:rsidRPr="00C976EC">
        <w:rPr>
          <w:rFonts w:ascii="Garamond" w:eastAsia="Times New Roman" w:hAnsi="Garamond" w:cs="Segoe UI"/>
          <w:color w:val="3A3A3A"/>
          <w:sz w:val="28"/>
          <w:szCs w:val="28"/>
          <w:lang w:val="fr-FR" w:eastAsia="fr-FR"/>
        </w:rPr>
        <w:t xml:space="preserve"> ainsi que dans l’œuvre, fortement teintée de philosophie néo-platonicienne, d’Abraham Herrera (</w:t>
      </w:r>
      <w:proofErr w:type="spellStart"/>
      <w:r w:rsidRPr="00C976EC">
        <w:rPr>
          <w:rFonts w:ascii="Garamond" w:eastAsia="Times New Roman" w:hAnsi="Garamond" w:cs="Segoe UI"/>
          <w:color w:val="3A3A3A"/>
          <w:sz w:val="28"/>
          <w:szCs w:val="28"/>
          <w:lang w:val="fr-FR" w:eastAsia="fr-FR"/>
        </w:rPr>
        <w:t>Sha‘ar</w:t>
      </w:r>
      <w:proofErr w:type="spellEnd"/>
      <w:r w:rsidRPr="00C976EC">
        <w:rPr>
          <w:rFonts w:ascii="Garamond" w:eastAsia="Times New Roman" w:hAnsi="Garamond" w:cs="Segoe UI"/>
          <w:color w:val="3A3A3A"/>
          <w:sz w:val="28"/>
          <w:szCs w:val="28"/>
          <w:lang w:val="fr-FR" w:eastAsia="fr-FR"/>
        </w:rPr>
        <w:t xml:space="preserve"> ha-</w:t>
      </w:r>
      <w:proofErr w:type="spellStart"/>
      <w:r w:rsidRPr="00C976EC">
        <w:rPr>
          <w:rFonts w:ascii="Garamond" w:eastAsia="Times New Roman" w:hAnsi="Garamond" w:cs="Segoe UI"/>
          <w:color w:val="3A3A3A"/>
          <w:sz w:val="28"/>
          <w:szCs w:val="28"/>
          <w:lang w:val="fr-FR" w:eastAsia="fr-FR"/>
        </w:rPr>
        <w:t>shamayim</w:t>
      </w:r>
      <w:proofErr w:type="spellEnd"/>
      <w:r w:rsidRPr="00C976EC">
        <w:rPr>
          <w:rFonts w:ascii="Garamond" w:eastAsia="Times New Roman" w:hAnsi="Garamond" w:cs="Segoe UI"/>
          <w:color w:val="3A3A3A"/>
          <w:sz w:val="28"/>
          <w:szCs w:val="28"/>
          <w:lang w:val="fr-FR" w:eastAsia="fr-FR"/>
        </w:rPr>
        <w:t xml:space="preserve">, La Porte des cieux) et dans les exposés d’allure systématique de </w:t>
      </w:r>
      <w:proofErr w:type="spellStart"/>
      <w:r w:rsidRPr="00C976EC">
        <w:rPr>
          <w:rFonts w:ascii="Garamond" w:eastAsia="Times New Roman" w:hAnsi="Garamond" w:cs="Segoe UI"/>
          <w:color w:val="3A3A3A"/>
          <w:sz w:val="28"/>
          <w:szCs w:val="28"/>
          <w:lang w:val="fr-FR" w:eastAsia="fr-FR"/>
        </w:rPr>
        <w:lastRenderedPageBreak/>
        <w:t>Naftali</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Herz</w:t>
      </w:r>
      <w:proofErr w:type="spellEnd"/>
      <w:r w:rsidRPr="00C976EC">
        <w:rPr>
          <w:rFonts w:ascii="Garamond" w:eastAsia="Times New Roman" w:hAnsi="Garamond" w:cs="Segoe UI"/>
          <w:color w:val="3A3A3A"/>
          <w:sz w:val="28"/>
          <w:szCs w:val="28"/>
          <w:lang w:val="fr-FR" w:eastAsia="fr-FR"/>
        </w:rPr>
        <w:t xml:space="preserve"> ben Jacob (</w:t>
      </w:r>
      <w:proofErr w:type="spellStart"/>
      <w:r w:rsidRPr="00C976EC">
        <w:rPr>
          <w:rFonts w:ascii="Garamond" w:eastAsia="Times New Roman" w:hAnsi="Garamond" w:cs="Segoe UI"/>
          <w:color w:val="3A3A3A"/>
          <w:sz w:val="28"/>
          <w:szCs w:val="28"/>
          <w:lang w:val="fr-FR" w:eastAsia="fr-FR"/>
        </w:rPr>
        <w:t>Emeq</w:t>
      </w:r>
      <w:proofErr w:type="spellEnd"/>
      <w:r w:rsidRPr="00C976EC">
        <w:rPr>
          <w:rFonts w:ascii="Garamond" w:eastAsia="Times New Roman" w:hAnsi="Garamond" w:cs="Segoe UI"/>
          <w:color w:val="3A3A3A"/>
          <w:sz w:val="28"/>
          <w:szCs w:val="28"/>
          <w:lang w:val="fr-FR" w:eastAsia="fr-FR"/>
        </w:rPr>
        <w:t xml:space="preserve"> ha-</w:t>
      </w:r>
      <w:proofErr w:type="spellStart"/>
      <w:r w:rsidRPr="00C976EC">
        <w:rPr>
          <w:rFonts w:ascii="Garamond" w:eastAsia="Times New Roman" w:hAnsi="Garamond" w:cs="Segoe UI"/>
          <w:color w:val="3A3A3A"/>
          <w:sz w:val="28"/>
          <w:szCs w:val="28"/>
          <w:lang w:val="fr-FR" w:eastAsia="fr-FR"/>
        </w:rPr>
        <w:t>melek</w:t>
      </w:r>
      <w:proofErr w:type="spellEnd"/>
      <w:r w:rsidRPr="00C976EC">
        <w:rPr>
          <w:rFonts w:ascii="Garamond" w:eastAsia="Times New Roman" w:hAnsi="Garamond" w:cs="Segoe UI"/>
          <w:color w:val="3A3A3A"/>
          <w:sz w:val="28"/>
          <w:szCs w:val="28"/>
          <w:lang w:val="fr-FR" w:eastAsia="fr-FR"/>
        </w:rPr>
        <w:t xml:space="preserve">, 1648, La Vallée du roi) ou de Menahem </w:t>
      </w:r>
      <w:proofErr w:type="spellStart"/>
      <w:r w:rsidRPr="00C976EC">
        <w:rPr>
          <w:rFonts w:ascii="Garamond" w:eastAsia="Times New Roman" w:hAnsi="Garamond" w:cs="Segoe UI"/>
          <w:color w:val="3A3A3A"/>
          <w:sz w:val="28"/>
          <w:szCs w:val="28"/>
          <w:lang w:val="fr-FR" w:eastAsia="fr-FR"/>
        </w:rPr>
        <w:t>Azaria</w:t>
      </w:r>
      <w:proofErr w:type="spellEnd"/>
      <w:r w:rsidRPr="00C976EC">
        <w:rPr>
          <w:rFonts w:ascii="Garamond" w:eastAsia="Times New Roman" w:hAnsi="Garamond" w:cs="Segoe UI"/>
          <w:color w:val="3A3A3A"/>
          <w:sz w:val="28"/>
          <w:szCs w:val="28"/>
          <w:lang w:val="fr-FR" w:eastAsia="fr-FR"/>
        </w:rPr>
        <w:t xml:space="preserve"> de Fano.</w:t>
      </w:r>
    </w:p>
    <w:p w:rsidR="00C976EC" w:rsidRPr="003F33A1" w:rsidRDefault="00C976EC" w:rsidP="00005877">
      <w:pPr>
        <w:spacing w:after="0" w:line="288" w:lineRule="atLeast"/>
        <w:jc w:val="both"/>
        <w:outlineLvl w:val="2"/>
        <w:rPr>
          <w:rFonts w:ascii="Garamond" w:eastAsia="Times New Roman" w:hAnsi="Garamond" w:cs="Segoe UI"/>
          <w:b/>
          <w:bCs/>
          <w:color w:val="3A3A3A"/>
          <w:sz w:val="28"/>
          <w:szCs w:val="28"/>
          <w:lang w:val="fr-FR" w:eastAsia="fr-FR"/>
        </w:rPr>
      </w:pPr>
      <w:r w:rsidRPr="003F33A1">
        <w:rPr>
          <w:rFonts w:ascii="Garamond" w:eastAsia="Times New Roman" w:hAnsi="Garamond" w:cs="Segoe UI"/>
          <w:b/>
          <w:bCs/>
          <w:i/>
          <w:iCs/>
          <w:color w:val="3A3A3A"/>
          <w:sz w:val="28"/>
          <w:szCs w:val="28"/>
          <w:bdr w:val="none" w:sz="0" w:space="0" w:color="auto" w:frame="1"/>
          <w:lang w:val="fr-FR" w:eastAsia="fr-FR"/>
        </w:rPr>
        <w:t>Le Sabbataïsme</w:t>
      </w:r>
    </w:p>
    <w:p w:rsidR="00C976EC"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 xml:space="preserve">Une branche radicale du lurianisme a conduit à la déviation sabbataïste. </w:t>
      </w:r>
      <w:proofErr w:type="spellStart"/>
      <w:r w:rsidRPr="00C976EC">
        <w:rPr>
          <w:rFonts w:ascii="Garamond" w:eastAsia="Times New Roman" w:hAnsi="Garamond" w:cs="Segoe UI"/>
          <w:color w:val="3A3A3A"/>
          <w:sz w:val="28"/>
          <w:szCs w:val="28"/>
          <w:lang w:val="fr-FR" w:eastAsia="fr-FR"/>
        </w:rPr>
        <w:t>Sabbataï</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Zvi</w:t>
      </w:r>
      <w:proofErr w:type="spellEnd"/>
      <w:r w:rsidRPr="00C976EC">
        <w:rPr>
          <w:rFonts w:ascii="Garamond" w:eastAsia="Times New Roman" w:hAnsi="Garamond" w:cs="Segoe UI"/>
          <w:color w:val="3A3A3A"/>
          <w:sz w:val="28"/>
          <w:szCs w:val="28"/>
          <w:lang w:val="fr-FR" w:eastAsia="fr-FR"/>
        </w:rPr>
        <w:t xml:space="preserve"> (1626-1676), mystique de tempérament instable et maladif, se présenta en 1665, sous l’instigation du</w:t>
      </w:r>
      <w:r w:rsidR="005162AF" w:rsidRPr="00C976EC">
        <w:rPr>
          <w:rFonts w:ascii="Garamond" w:eastAsia="Times New Roman" w:hAnsi="Garamond" w:cs="Segoe UI"/>
          <w:color w:val="3A3A3A"/>
          <w:sz w:val="28"/>
          <w:szCs w:val="28"/>
          <w:lang w:val="fr-FR" w:eastAsia="fr-FR"/>
        </w:rPr>
        <w:t xml:space="preserve"> « prophète »</w:t>
      </w:r>
      <w:r w:rsidRPr="00C976EC">
        <w:rPr>
          <w:rFonts w:ascii="Garamond" w:eastAsia="Times New Roman" w:hAnsi="Garamond" w:cs="Segoe UI"/>
          <w:color w:val="3A3A3A"/>
          <w:sz w:val="28"/>
          <w:szCs w:val="28"/>
          <w:lang w:val="fr-FR" w:eastAsia="fr-FR"/>
        </w:rPr>
        <w:t xml:space="preserve"> Nathan de Gaza, comme le Messie dont l’avènement était attendu, d’après des calculs messianiques, depuis 1648. Le mouvement prit rapidement une telle ampleur qu’il éveilla la méfiance de la Sublime Porte. Le pseudo-messie fut emprisonné et n’échappa à la peine capitale qu’au prix de l’apostasie. Cet acte, interprété par Nathan de Gaza comme partie intégrante de la mission terrestre du Messie, fut largement imité par ses sectateurs. Pour la première fois dans l’histoire du judaïsme un mouvement mystique brisait les cadres de l’orthodoxie.</w:t>
      </w:r>
    </w:p>
    <w:p w:rsidR="005162AF" w:rsidRPr="00C976EC"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Un phénomène analogue se produisit au siècle suivant en Pologne, où un adepte du sabbataïsme, Jacob Frank (1726-1791), réveillant les tendances antinomiques du lurianisme, entraîna ses disciples à rejeter ouvertement toute loi religieuse et à adopter le catholicisme comme</w:t>
      </w:r>
      <w:r w:rsidR="00D5581C" w:rsidRPr="00C976EC">
        <w:rPr>
          <w:rFonts w:ascii="Garamond" w:eastAsia="Times New Roman" w:hAnsi="Garamond" w:cs="Segoe UI"/>
          <w:color w:val="3A3A3A"/>
          <w:sz w:val="28"/>
          <w:szCs w:val="28"/>
          <w:lang w:val="fr-FR" w:eastAsia="fr-FR"/>
        </w:rPr>
        <w:t xml:space="preserve"> « religion</w:t>
      </w:r>
      <w:r w:rsidRPr="00C976EC">
        <w:rPr>
          <w:rFonts w:ascii="Garamond" w:eastAsia="Times New Roman" w:hAnsi="Garamond" w:cs="Segoe UI"/>
          <w:color w:val="3A3A3A"/>
          <w:sz w:val="28"/>
          <w:szCs w:val="28"/>
          <w:lang w:val="fr-FR" w:eastAsia="fr-FR"/>
        </w:rPr>
        <w:t xml:space="preserve"> de </w:t>
      </w:r>
      <w:r w:rsidR="00D5581C" w:rsidRPr="00C976EC">
        <w:rPr>
          <w:rFonts w:ascii="Garamond" w:eastAsia="Times New Roman" w:hAnsi="Garamond" w:cs="Segoe UI"/>
          <w:color w:val="3A3A3A"/>
          <w:sz w:val="28"/>
          <w:szCs w:val="28"/>
          <w:lang w:val="fr-FR" w:eastAsia="fr-FR"/>
        </w:rPr>
        <w:t>couverture »</w:t>
      </w:r>
      <w:r w:rsidRPr="00C976EC">
        <w:rPr>
          <w:rFonts w:ascii="Garamond" w:eastAsia="Times New Roman" w:hAnsi="Garamond" w:cs="Segoe UI"/>
          <w:color w:val="3A3A3A"/>
          <w:sz w:val="28"/>
          <w:szCs w:val="28"/>
          <w:lang w:val="fr-FR" w:eastAsia="fr-FR"/>
        </w:rPr>
        <w:t>.</w:t>
      </w:r>
    </w:p>
    <w:p w:rsidR="00C976EC" w:rsidRPr="00C976EC" w:rsidRDefault="00C976EC" w:rsidP="00005877">
      <w:pPr>
        <w:spacing w:after="300" w:line="288" w:lineRule="atLeast"/>
        <w:jc w:val="both"/>
        <w:outlineLvl w:val="2"/>
        <w:rPr>
          <w:rFonts w:ascii="Garamond" w:eastAsia="Times New Roman" w:hAnsi="Garamond" w:cs="Segoe UI"/>
          <w:b/>
          <w:bCs/>
          <w:color w:val="3A3A3A"/>
          <w:sz w:val="28"/>
          <w:szCs w:val="28"/>
          <w:lang w:val="fr-FR" w:eastAsia="fr-FR"/>
        </w:rPr>
      </w:pPr>
      <w:r w:rsidRPr="00C976EC">
        <w:rPr>
          <w:rFonts w:ascii="Garamond" w:eastAsia="Times New Roman" w:hAnsi="Garamond" w:cs="Segoe UI"/>
          <w:b/>
          <w:bCs/>
          <w:color w:val="3A3A3A"/>
          <w:sz w:val="28"/>
          <w:szCs w:val="28"/>
          <w:lang w:val="fr-FR" w:eastAsia="fr-FR"/>
        </w:rPr>
        <w:t>Le mouvement Hassidique de Pologne</w:t>
      </w:r>
    </w:p>
    <w:p w:rsidR="003F33A1" w:rsidRDefault="00C976EC" w:rsidP="00005877">
      <w:pPr>
        <w:spacing w:after="360" w:line="240" w:lineRule="auto"/>
        <w:jc w:val="both"/>
        <w:rPr>
          <w:rFonts w:ascii="Garamond" w:eastAsia="Times New Roman" w:hAnsi="Garamond" w:cs="Segoe UI"/>
          <w:color w:val="3A3A3A"/>
          <w:sz w:val="28"/>
          <w:szCs w:val="28"/>
          <w:lang w:val="fr-FR" w:eastAsia="fr-FR"/>
        </w:rPr>
      </w:pPr>
      <w:r w:rsidRPr="00C976EC">
        <w:rPr>
          <w:rFonts w:ascii="Garamond" w:eastAsia="Times New Roman" w:hAnsi="Garamond" w:cs="Segoe UI"/>
          <w:color w:val="3A3A3A"/>
          <w:sz w:val="28"/>
          <w:szCs w:val="28"/>
          <w:lang w:val="fr-FR" w:eastAsia="fr-FR"/>
        </w:rPr>
        <w:t xml:space="preserve">Le dernier courant issu du lurianisme se répandit en Pologne à partir des années 1750. Consciencieusement épuré de </w:t>
      </w:r>
      <w:r w:rsidRPr="00C976EC">
        <w:rPr>
          <w:rFonts w:ascii="Garamond" w:eastAsia="Times New Roman" w:hAnsi="Garamond" w:cs="Segoe UI"/>
          <w:color w:val="3A3A3A"/>
          <w:sz w:val="28"/>
          <w:szCs w:val="28"/>
          <w:lang w:val="fr-FR" w:eastAsia="fr-FR"/>
        </w:rPr>
        <w:lastRenderedPageBreak/>
        <w:t xml:space="preserve">l’extrémisme messianique par ses fondateurs, Israël Baal </w:t>
      </w:r>
      <w:proofErr w:type="spellStart"/>
      <w:r w:rsidRPr="00C976EC">
        <w:rPr>
          <w:rFonts w:ascii="Garamond" w:eastAsia="Times New Roman" w:hAnsi="Garamond" w:cs="Segoe UI"/>
          <w:color w:val="3A3A3A"/>
          <w:sz w:val="28"/>
          <w:szCs w:val="28"/>
          <w:lang w:val="fr-FR" w:eastAsia="fr-FR"/>
        </w:rPr>
        <w:t>Shem</w:t>
      </w:r>
      <w:proofErr w:type="spellEnd"/>
      <w:r w:rsidRPr="00C976EC">
        <w:rPr>
          <w:rFonts w:ascii="Garamond" w:eastAsia="Times New Roman" w:hAnsi="Garamond" w:cs="Segoe UI"/>
          <w:color w:val="3A3A3A"/>
          <w:sz w:val="28"/>
          <w:szCs w:val="28"/>
          <w:lang w:val="fr-FR" w:eastAsia="fr-FR"/>
        </w:rPr>
        <w:t xml:space="preserve"> </w:t>
      </w:r>
      <w:proofErr w:type="spellStart"/>
      <w:r w:rsidRPr="00C976EC">
        <w:rPr>
          <w:rFonts w:ascii="Garamond" w:eastAsia="Times New Roman" w:hAnsi="Garamond" w:cs="Segoe UI"/>
          <w:color w:val="3A3A3A"/>
          <w:sz w:val="28"/>
          <w:szCs w:val="28"/>
          <w:lang w:val="fr-FR" w:eastAsia="fr-FR"/>
        </w:rPr>
        <w:t>Tob</w:t>
      </w:r>
      <w:proofErr w:type="spellEnd"/>
      <w:r w:rsidRPr="00C976EC">
        <w:rPr>
          <w:rFonts w:ascii="Garamond" w:eastAsia="Times New Roman" w:hAnsi="Garamond" w:cs="Segoe UI"/>
          <w:color w:val="3A3A3A"/>
          <w:sz w:val="28"/>
          <w:szCs w:val="28"/>
          <w:lang w:val="fr-FR" w:eastAsia="fr-FR"/>
        </w:rPr>
        <w:t xml:space="preserve"> et ses premiers disciples, ce mouvement, qui fut appelé hassidisme bien qu’il n’ait aucune continuité idéologique avec son homonyme du Moyen Âge, suscita un réveil religieux dans les masses dont les aspirations spirituelles ne pouvaient être comblées par le légalisme trop formaliste des rabbins talmudistes. L’idéal moral, reflet des valeurs théosophiques sur le plan éthique, est proposé </w:t>
      </w:r>
      <w:r w:rsidR="007F0342" w:rsidRPr="00C976EC">
        <w:rPr>
          <w:rFonts w:ascii="Garamond" w:eastAsia="Times New Roman" w:hAnsi="Garamond" w:cs="Segoe UI"/>
          <w:color w:val="3A3A3A"/>
          <w:sz w:val="28"/>
          <w:szCs w:val="28"/>
          <w:lang w:val="fr-FR" w:eastAsia="fr-FR"/>
        </w:rPr>
        <w:t>au</w:t>
      </w:r>
      <w:r w:rsidR="007F0342">
        <w:rPr>
          <w:rFonts w:ascii="Garamond" w:eastAsia="Times New Roman" w:hAnsi="Garamond" w:cs="Segoe UI"/>
          <w:color w:val="3A3A3A"/>
          <w:sz w:val="28"/>
          <w:szCs w:val="28"/>
          <w:lang w:val="fr-FR" w:eastAsia="fr-FR"/>
        </w:rPr>
        <w:t>x</w:t>
      </w:r>
      <w:r w:rsidR="007F0342" w:rsidRPr="00C976EC">
        <w:rPr>
          <w:rFonts w:ascii="Garamond" w:eastAsia="Times New Roman" w:hAnsi="Garamond" w:cs="Segoe UI"/>
          <w:color w:val="3A3A3A"/>
          <w:sz w:val="28"/>
          <w:szCs w:val="28"/>
          <w:lang w:val="fr-FR" w:eastAsia="fr-FR"/>
        </w:rPr>
        <w:t xml:space="preserve"> hassidim</w:t>
      </w:r>
      <w:r w:rsidRPr="00C976EC">
        <w:rPr>
          <w:rFonts w:ascii="Garamond" w:eastAsia="Times New Roman" w:hAnsi="Garamond" w:cs="Segoe UI"/>
          <w:color w:val="3A3A3A"/>
          <w:sz w:val="28"/>
          <w:szCs w:val="28"/>
          <w:lang w:val="fr-FR" w:eastAsia="fr-FR"/>
        </w:rPr>
        <w:t xml:space="preserve">, et pleinement réalisé par le </w:t>
      </w:r>
      <w:proofErr w:type="spellStart"/>
      <w:r w:rsidRPr="00C976EC">
        <w:rPr>
          <w:rFonts w:ascii="Garamond" w:eastAsia="Times New Roman" w:hAnsi="Garamond" w:cs="Segoe UI"/>
          <w:color w:val="3A3A3A"/>
          <w:sz w:val="28"/>
          <w:szCs w:val="28"/>
          <w:lang w:val="fr-FR" w:eastAsia="fr-FR"/>
        </w:rPr>
        <w:t>saddiq</w:t>
      </w:r>
      <w:proofErr w:type="spellEnd"/>
      <w:r w:rsidRPr="00C976EC">
        <w:rPr>
          <w:rFonts w:ascii="Garamond" w:eastAsia="Times New Roman" w:hAnsi="Garamond" w:cs="Segoe UI"/>
          <w:color w:val="3A3A3A"/>
          <w:sz w:val="28"/>
          <w:szCs w:val="28"/>
          <w:lang w:val="fr-FR" w:eastAsia="fr-FR"/>
        </w:rPr>
        <w:t xml:space="preserve">, l’homme de Dieu. Ce courant fait appel à la foi pure de préférence à la spéculation intellectuelle, sans que celle-ci, toutefois, cesse de jouer un rôle considérable dans les écrits théoriques du mouvement, comme c’est le cas surtout dans l’école lithuanienne fondée par </w:t>
      </w:r>
      <w:proofErr w:type="spellStart"/>
      <w:r w:rsidRPr="00C976EC">
        <w:rPr>
          <w:rFonts w:ascii="Garamond" w:eastAsia="Times New Roman" w:hAnsi="Garamond" w:cs="Segoe UI"/>
          <w:color w:val="3A3A3A"/>
          <w:sz w:val="28"/>
          <w:szCs w:val="28"/>
          <w:lang w:val="fr-FR" w:eastAsia="fr-FR"/>
        </w:rPr>
        <w:t>Shnéor</w:t>
      </w:r>
      <w:proofErr w:type="spellEnd"/>
      <w:r w:rsidRPr="00C976EC">
        <w:rPr>
          <w:rFonts w:ascii="Garamond" w:eastAsia="Times New Roman" w:hAnsi="Garamond" w:cs="Segoe UI"/>
          <w:color w:val="3A3A3A"/>
          <w:sz w:val="28"/>
          <w:szCs w:val="28"/>
          <w:lang w:val="fr-FR" w:eastAsia="fr-FR"/>
        </w:rPr>
        <w:t xml:space="preserve"> de </w:t>
      </w:r>
      <w:proofErr w:type="spellStart"/>
      <w:r w:rsidRPr="00C976EC">
        <w:rPr>
          <w:rFonts w:ascii="Garamond" w:eastAsia="Times New Roman" w:hAnsi="Garamond" w:cs="Segoe UI"/>
          <w:color w:val="3A3A3A"/>
          <w:sz w:val="28"/>
          <w:szCs w:val="28"/>
          <w:lang w:val="fr-FR" w:eastAsia="fr-FR"/>
        </w:rPr>
        <w:t>Ladi</w:t>
      </w:r>
      <w:proofErr w:type="spellEnd"/>
      <w:r w:rsidRPr="00C976EC">
        <w:rPr>
          <w:rFonts w:ascii="Garamond" w:eastAsia="Times New Roman" w:hAnsi="Garamond" w:cs="Segoe UI"/>
          <w:color w:val="3A3A3A"/>
          <w:sz w:val="28"/>
          <w:szCs w:val="28"/>
          <w:lang w:val="fr-FR" w:eastAsia="fr-FR"/>
        </w:rPr>
        <w:t xml:space="preserve">. </w:t>
      </w:r>
      <w:r w:rsidR="007F0342" w:rsidRPr="00C976EC">
        <w:rPr>
          <w:rFonts w:ascii="Garamond" w:eastAsia="Times New Roman" w:hAnsi="Garamond" w:cs="Segoe UI"/>
          <w:color w:val="3A3A3A"/>
          <w:sz w:val="28"/>
          <w:szCs w:val="28"/>
          <w:lang w:val="fr-FR" w:eastAsia="fr-FR"/>
        </w:rPr>
        <w:t>L’hassidisme</w:t>
      </w:r>
      <w:r w:rsidRPr="00C976EC">
        <w:rPr>
          <w:rFonts w:ascii="Garamond" w:eastAsia="Times New Roman" w:hAnsi="Garamond" w:cs="Segoe UI"/>
          <w:color w:val="3A3A3A"/>
          <w:sz w:val="28"/>
          <w:szCs w:val="28"/>
          <w:lang w:val="fr-FR" w:eastAsia="fr-FR"/>
        </w:rPr>
        <w:t xml:space="preserve"> est encore bien vivant de nos jours, notamment aux États-Unis et en Israël, après la disparition des communautés de l’Europe orientale.</w:t>
      </w:r>
    </w:p>
    <w:p w:rsidR="00C976EC" w:rsidRDefault="00C976EC" w:rsidP="005162AF">
      <w:pPr>
        <w:spacing w:after="0" w:line="288" w:lineRule="atLeast"/>
        <w:jc w:val="both"/>
        <w:outlineLvl w:val="1"/>
        <w:rPr>
          <w:rFonts w:ascii="Garamond" w:eastAsia="Times New Roman" w:hAnsi="Garamond" w:cs="Segoe UI"/>
          <w:b/>
          <w:bCs/>
          <w:color w:val="3A3A3A"/>
          <w:sz w:val="28"/>
          <w:szCs w:val="28"/>
          <w:lang w:val="fr-FR" w:eastAsia="fr-FR"/>
        </w:rPr>
      </w:pPr>
      <w:r w:rsidRPr="005162AF">
        <w:rPr>
          <w:rFonts w:ascii="Garamond" w:eastAsia="Times New Roman" w:hAnsi="Garamond" w:cs="Segoe UI"/>
          <w:b/>
          <w:bCs/>
          <w:color w:val="3A3A3A"/>
          <w:sz w:val="28"/>
          <w:szCs w:val="28"/>
          <w:bdr w:val="none" w:sz="0" w:space="0" w:color="auto" w:frame="1"/>
          <w:lang w:val="fr-FR" w:eastAsia="fr-FR"/>
        </w:rPr>
        <w:t>La Kabbale chrétienne </w:t>
      </w:r>
    </w:p>
    <w:p w:rsidR="005162AF" w:rsidRPr="005162AF" w:rsidRDefault="005162AF" w:rsidP="005162AF">
      <w:pPr>
        <w:spacing w:after="0" w:line="288" w:lineRule="atLeast"/>
        <w:jc w:val="both"/>
        <w:outlineLvl w:val="1"/>
        <w:rPr>
          <w:rFonts w:ascii="Garamond" w:eastAsia="Times New Roman" w:hAnsi="Garamond" w:cs="Segoe UI"/>
          <w:b/>
          <w:bCs/>
          <w:color w:val="3A3A3A"/>
          <w:sz w:val="28"/>
          <w:szCs w:val="28"/>
          <w:lang w:val="fr-FR" w:eastAsia="fr-FR"/>
        </w:rPr>
      </w:pPr>
    </w:p>
    <w:p w:rsidR="006868F6" w:rsidRPr="006868F6" w:rsidRDefault="006868F6" w:rsidP="00005877">
      <w:pPr>
        <w:spacing w:after="360" w:line="240" w:lineRule="auto"/>
        <w:jc w:val="both"/>
        <w:rPr>
          <w:rFonts w:ascii="Garamond" w:eastAsia="Times New Roman" w:hAnsi="Garamond" w:cs="Segoe UI"/>
          <w:color w:val="3A3A3A"/>
          <w:sz w:val="28"/>
          <w:szCs w:val="28"/>
          <w:lang w:val="fr-FR" w:eastAsia="fr-FR"/>
        </w:rPr>
      </w:pPr>
      <w:r w:rsidRPr="006868F6">
        <w:rPr>
          <w:rFonts w:ascii="Garamond" w:eastAsia="Times New Roman" w:hAnsi="Garamond" w:cs="Segoe UI"/>
          <w:color w:val="3A3A3A"/>
          <w:sz w:val="28"/>
          <w:szCs w:val="28"/>
          <w:lang w:val="fr-FR" w:eastAsia="fr-FR"/>
        </w:rPr>
        <w:t xml:space="preserve">L’expression de kabbale chrétienne désigne un courant d’idées fort complexes qui, depuis le scandale des thèses De omni </w:t>
      </w:r>
      <w:proofErr w:type="spellStart"/>
      <w:r w:rsidRPr="006868F6">
        <w:rPr>
          <w:rFonts w:ascii="Garamond" w:eastAsia="Times New Roman" w:hAnsi="Garamond" w:cs="Segoe UI"/>
          <w:color w:val="3A3A3A"/>
          <w:sz w:val="28"/>
          <w:szCs w:val="28"/>
          <w:lang w:val="fr-FR" w:eastAsia="fr-FR"/>
        </w:rPr>
        <w:t>re</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scibili</w:t>
      </w:r>
      <w:proofErr w:type="spellEnd"/>
      <w:r w:rsidRPr="006868F6">
        <w:rPr>
          <w:rFonts w:ascii="Garamond" w:eastAsia="Times New Roman" w:hAnsi="Garamond" w:cs="Segoe UI"/>
          <w:color w:val="3A3A3A"/>
          <w:sz w:val="28"/>
          <w:szCs w:val="28"/>
          <w:lang w:val="fr-FR" w:eastAsia="fr-FR"/>
        </w:rPr>
        <w:t xml:space="preserve"> de Pic de La Mirandole, à la fin du Quattrocento, se développa avec des fortunes diverses à travers l’Espagne, l’Italie, l’Allemagne, la France, l’Angleterre, les Pays-Bas, la Suède, jusqu’à la publication en 1911 de la traduction du Zohar, la bible de la kabbale, à l’instigation d’E. Lafuma-Giraud, qui y trouvait «l’écho d’enseignements et de traditions antérieurs à l’époque de </w:t>
      </w:r>
      <w:r w:rsidRPr="006868F6">
        <w:rPr>
          <w:rFonts w:ascii="Garamond" w:eastAsia="Times New Roman" w:hAnsi="Garamond" w:cs="Segoe UI"/>
          <w:color w:val="3A3A3A"/>
          <w:sz w:val="28"/>
          <w:szCs w:val="28"/>
          <w:lang w:val="fr-FR" w:eastAsia="fr-FR"/>
        </w:rPr>
        <w:lastRenderedPageBreak/>
        <w:t xml:space="preserve">l’avènement du christianisme». Ce courant intéressa Pascal, les platoniciens de Cambridge, Leibniz, Milton, Goethe, Schelling, avant d’entrer dans le domaine d’un occultisme du plus mauvais aloi, qui fut illustré notamment par </w:t>
      </w:r>
      <w:proofErr w:type="spellStart"/>
      <w:r w:rsidRPr="006868F6">
        <w:rPr>
          <w:rFonts w:ascii="Garamond" w:eastAsia="Times New Roman" w:hAnsi="Garamond" w:cs="Segoe UI"/>
          <w:color w:val="3A3A3A"/>
          <w:sz w:val="28"/>
          <w:szCs w:val="28"/>
          <w:lang w:val="fr-FR" w:eastAsia="fr-FR"/>
        </w:rPr>
        <w:t>Éliphas</w:t>
      </w:r>
      <w:proofErr w:type="spellEnd"/>
      <w:r w:rsidRPr="006868F6">
        <w:rPr>
          <w:rFonts w:ascii="Garamond" w:eastAsia="Times New Roman" w:hAnsi="Garamond" w:cs="Segoe UI"/>
          <w:color w:val="3A3A3A"/>
          <w:sz w:val="28"/>
          <w:szCs w:val="28"/>
          <w:lang w:val="fr-FR" w:eastAsia="fr-FR"/>
        </w:rPr>
        <w:t xml:space="preserve"> Lévi, </w:t>
      </w:r>
      <w:proofErr w:type="spellStart"/>
      <w:r w:rsidRPr="006868F6">
        <w:rPr>
          <w:rFonts w:ascii="Garamond" w:eastAsia="Times New Roman" w:hAnsi="Garamond" w:cs="Segoe UI"/>
          <w:color w:val="3A3A3A"/>
          <w:sz w:val="28"/>
          <w:szCs w:val="28"/>
          <w:lang w:val="fr-FR" w:eastAsia="fr-FR"/>
        </w:rPr>
        <w:t>Papus</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Aleister</w:t>
      </w:r>
      <w:proofErr w:type="spellEnd"/>
      <w:r w:rsidRPr="006868F6">
        <w:rPr>
          <w:rFonts w:ascii="Garamond" w:eastAsia="Times New Roman" w:hAnsi="Garamond" w:cs="Segoe UI"/>
          <w:color w:val="3A3A3A"/>
          <w:sz w:val="28"/>
          <w:szCs w:val="28"/>
          <w:lang w:val="fr-FR" w:eastAsia="fr-FR"/>
        </w:rPr>
        <w:t xml:space="preserve"> Crowley, d’où les recherches suscitées par </w:t>
      </w:r>
      <w:proofErr w:type="spellStart"/>
      <w:r w:rsidRPr="006868F6">
        <w:rPr>
          <w:rFonts w:ascii="Garamond" w:eastAsia="Times New Roman" w:hAnsi="Garamond" w:cs="Segoe UI"/>
          <w:color w:val="3A3A3A"/>
          <w:sz w:val="28"/>
          <w:szCs w:val="28"/>
          <w:lang w:val="fr-FR" w:eastAsia="fr-FR"/>
        </w:rPr>
        <w:t>Gershom</w:t>
      </w:r>
      <w:proofErr w:type="spellEnd"/>
      <w:r w:rsidRPr="006868F6">
        <w:rPr>
          <w:rFonts w:ascii="Garamond" w:eastAsia="Times New Roman" w:hAnsi="Garamond" w:cs="Segoe UI"/>
          <w:color w:val="3A3A3A"/>
          <w:sz w:val="28"/>
          <w:szCs w:val="28"/>
          <w:lang w:val="fr-FR" w:eastAsia="fr-FR"/>
        </w:rPr>
        <w:t xml:space="preserve"> Scholem l’ont enfin tiré.</w:t>
      </w:r>
    </w:p>
    <w:p w:rsidR="006868F6" w:rsidRPr="006868F6" w:rsidRDefault="006868F6" w:rsidP="00005877">
      <w:pPr>
        <w:spacing w:after="360" w:line="240" w:lineRule="auto"/>
        <w:jc w:val="both"/>
        <w:rPr>
          <w:rFonts w:ascii="Garamond" w:eastAsia="Times New Roman" w:hAnsi="Garamond" w:cs="Segoe UI"/>
          <w:color w:val="3A3A3A"/>
          <w:sz w:val="28"/>
          <w:szCs w:val="28"/>
          <w:lang w:val="fr-FR" w:eastAsia="fr-FR"/>
        </w:rPr>
      </w:pPr>
      <w:r w:rsidRPr="006868F6">
        <w:rPr>
          <w:rFonts w:ascii="Garamond" w:eastAsia="Times New Roman" w:hAnsi="Garamond" w:cs="Segoe UI"/>
          <w:color w:val="3A3A3A"/>
          <w:sz w:val="28"/>
          <w:szCs w:val="28"/>
          <w:lang w:val="fr-FR" w:eastAsia="fr-FR"/>
        </w:rPr>
        <w:t xml:space="preserve">La kabbale chrétienne se manifesta d’abord en Espagne, où des convertis, dans la perspective apologétique du </w:t>
      </w:r>
      <w:proofErr w:type="spellStart"/>
      <w:r w:rsidRPr="006868F6">
        <w:rPr>
          <w:rFonts w:ascii="Garamond" w:eastAsia="Times New Roman" w:hAnsi="Garamond" w:cs="Segoe UI"/>
          <w:color w:val="3A3A3A"/>
          <w:sz w:val="28"/>
          <w:szCs w:val="28"/>
          <w:lang w:val="fr-FR" w:eastAsia="fr-FR"/>
        </w:rPr>
        <w:t>Pugio</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fidei</w:t>
      </w:r>
      <w:proofErr w:type="spellEnd"/>
      <w:r w:rsidRPr="006868F6">
        <w:rPr>
          <w:rFonts w:ascii="Garamond" w:eastAsia="Times New Roman" w:hAnsi="Garamond" w:cs="Segoe UI"/>
          <w:color w:val="3A3A3A"/>
          <w:sz w:val="28"/>
          <w:szCs w:val="28"/>
          <w:lang w:val="fr-FR" w:eastAsia="fr-FR"/>
        </w:rPr>
        <w:t xml:space="preserve"> («Le Poignard de la foi», XIIe s.), cherchèrent, en sollicitant les textes, à prouver la vérité de la religion de Jésus, le Messie. C’est ainsi que le Zohar, donné comme ayant été composé avant le Christ, put être publié par des chrétiens (Crémone, 1559) au moment où l’on détruisait le Talmud.</w:t>
      </w:r>
    </w:p>
    <w:p w:rsidR="006868F6" w:rsidRPr="006868F6" w:rsidRDefault="006868F6" w:rsidP="00005877">
      <w:pPr>
        <w:spacing w:after="360" w:line="240" w:lineRule="auto"/>
        <w:jc w:val="both"/>
        <w:rPr>
          <w:rFonts w:ascii="Garamond" w:eastAsia="Times New Roman" w:hAnsi="Garamond" w:cs="Segoe UI"/>
          <w:color w:val="3A3A3A"/>
          <w:sz w:val="28"/>
          <w:szCs w:val="28"/>
          <w:lang w:val="fr-FR" w:eastAsia="fr-FR"/>
        </w:rPr>
      </w:pPr>
      <w:r w:rsidRPr="006868F6">
        <w:rPr>
          <w:rFonts w:ascii="Garamond" w:eastAsia="Times New Roman" w:hAnsi="Garamond" w:cs="Segoe UI"/>
          <w:color w:val="3A3A3A"/>
          <w:sz w:val="28"/>
          <w:szCs w:val="28"/>
          <w:lang w:val="fr-FR" w:eastAsia="fr-FR"/>
        </w:rPr>
        <w:t xml:space="preserve">Ce sont des convertis de ce genre qui entourent Jean Pic de La Mirandole (Giovanni Pico </w:t>
      </w:r>
      <w:proofErr w:type="spellStart"/>
      <w:r w:rsidRPr="006868F6">
        <w:rPr>
          <w:rFonts w:ascii="Garamond" w:eastAsia="Times New Roman" w:hAnsi="Garamond" w:cs="Segoe UI"/>
          <w:color w:val="3A3A3A"/>
          <w:sz w:val="28"/>
          <w:szCs w:val="28"/>
          <w:lang w:val="fr-FR" w:eastAsia="fr-FR"/>
        </w:rPr>
        <w:t>della</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Mirandola</w:t>
      </w:r>
      <w:proofErr w:type="spellEnd"/>
      <w:r w:rsidRPr="006868F6">
        <w:rPr>
          <w:rFonts w:ascii="Garamond" w:eastAsia="Times New Roman" w:hAnsi="Garamond" w:cs="Segoe UI"/>
          <w:color w:val="3A3A3A"/>
          <w:sz w:val="28"/>
          <w:szCs w:val="28"/>
          <w:lang w:val="fr-FR" w:eastAsia="fr-FR"/>
        </w:rPr>
        <w:t xml:space="preserve">, 1463-1494): son traducteur de textes kabbalistiques, Flavius Mithridates, et Paulus de Heredia, l’inventeur du Gale </w:t>
      </w:r>
      <w:proofErr w:type="spellStart"/>
      <w:r w:rsidRPr="006868F6">
        <w:rPr>
          <w:rFonts w:ascii="Garamond" w:eastAsia="Times New Roman" w:hAnsi="Garamond" w:cs="Segoe UI"/>
          <w:color w:val="3A3A3A"/>
          <w:sz w:val="28"/>
          <w:szCs w:val="28"/>
          <w:lang w:val="fr-FR" w:eastAsia="fr-FR"/>
        </w:rPr>
        <w:t>Razeia</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Revelator</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arcanorum</w:t>
      </w:r>
      <w:proofErr w:type="spellEnd"/>
      <w:r w:rsidRPr="006868F6">
        <w:rPr>
          <w:rFonts w:ascii="Garamond" w:eastAsia="Times New Roman" w:hAnsi="Garamond" w:cs="Segoe UI"/>
          <w:color w:val="3A3A3A"/>
          <w:sz w:val="28"/>
          <w:szCs w:val="28"/>
          <w:lang w:val="fr-FR" w:eastAsia="fr-FR"/>
        </w:rPr>
        <w:t>, «Le Révélateur des mystères»), où le dogme de la Trinité apparaît plus clairement que dans le Symbole des Apôtres. L’auteur de l’</w:t>
      </w:r>
      <w:proofErr w:type="spellStart"/>
      <w:r w:rsidRPr="006868F6">
        <w:rPr>
          <w:rFonts w:ascii="Garamond" w:eastAsia="Times New Roman" w:hAnsi="Garamond" w:cs="Segoe UI"/>
          <w:color w:val="3A3A3A"/>
          <w:sz w:val="28"/>
          <w:szCs w:val="28"/>
          <w:lang w:val="fr-FR" w:eastAsia="fr-FR"/>
        </w:rPr>
        <w:t>Heptaplus</w:t>
      </w:r>
      <w:proofErr w:type="spellEnd"/>
      <w:r w:rsidRPr="006868F6">
        <w:rPr>
          <w:rFonts w:ascii="Garamond" w:eastAsia="Times New Roman" w:hAnsi="Garamond" w:cs="Segoe UI"/>
          <w:color w:val="3A3A3A"/>
          <w:sz w:val="28"/>
          <w:szCs w:val="28"/>
          <w:lang w:val="fr-FR" w:eastAsia="fr-FR"/>
        </w:rPr>
        <w:t xml:space="preserve"> et des </w:t>
      </w:r>
      <w:proofErr w:type="spellStart"/>
      <w:r w:rsidRPr="006868F6">
        <w:rPr>
          <w:rFonts w:ascii="Garamond" w:eastAsia="Times New Roman" w:hAnsi="Garamond" w:cs="Segoe UI"/>
          <w:color w:val="3A3A3A"/>
          <w:sz w:val="28"/>
          <w:szCs w:val="28"/>
          <w:lang w:val="fr-FR" w:eastAsia="fr-FR"/>
        </w:rPr>
        <w:t>Conclusiones</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cabalisticae</w:t>
      </w:r>
      <w:proofErr w:type="spellEnd"/>
      <w:r w:rsidRPr="006868F6">
        <w:rPr>
          <w:rFonts w:ascii="Garamond" w:eastAsia="Times New Roman" w:hAnsi="Garamond" w:cs="Segoe UI"/>
          <w:color w:val="3A3A3A"/>
          <w:sz w:val="28"/>
          <w:szCs w:val="28"/>
          <w:lang w:val="fr-FR" w:eastAsia="fr-FR"/>
        </w:rPr>
        <w:t xml:space="preserve"> y retrouve, en outre, la source de tous les auteurs favoris de l’Académie platonicienne de Florence: Platon, Hermès Trismégiste, Pythagore et Orphée. Et Léon l’Hébreu, un fils du grand </w:t>
      </w:r>
      <w:proofErr w:type="spellStart"/>
      <w:r w:rsidRPr="006868F6">
        <w:rPr>
          <w:rFonts w:ascii="Garamond" w:eastAsia="Times New Roman" w:hAnsi="Garamond" w:cs="Segoe UI"/>
          <w:color w:val="3A3A3A"/>
          <w:sz w:val="28"/>
          <w:szCs w:val="28"/>
          <w:lang w:val="fr-FR" w:eastAsia="fr-FR"/>
        </w:rPr>
        <w:t>Abrabanel</w:t>
      </w:r>
      <w:proofErr w:type="spellEnd"/>
      <w:r w:rsidRPr="006868F6">
        <w:rPr>
          <w:rFonts w:ascii="Garamond" w:eastAsia="Times New Roman" w:hAnsi="Garamond" w:cs="Segoe UI"/>
          <w:color w:val="3A3A3A"/>
          <w:sz w:val="28"/>
          <w:szCs w:val="28"/>
          <w:lang w:val="fr-FR" w:eastAsia="fr-FR"/>
        </w:rPr>
        <w:t xml:space="preserve">, dans ses </w:t>
      </w:r>
      <w:proofErr w:type="spellStart"/>
      <w:r w:rsidRPr="006868F6">
        <w:rPr>
          <w:rFonts w:ascii="Garamond" w:eastAsia="Times New Roman" w:hAnsi="Garamond" w:cs="Segoe UI"/>
          <w:color w:val="3A3A3A"/>
          <w:sz w:val="28"/>
          <w:szCs w:val="28"/>
          <w:lang w:val="fr-FR" w:eastAsia="fr-FR"/>
        </w:rPr>
        <w:t>Dialoghi</w:t>
      </w:r>
      <w:proofErr w:type="spellEnd"/>
      <w:r w:rsidRPr="006868F6">
        <w:rPr>
          <w:rFonts w:ascii="Garamond" w:eastAsia="Times New Roman" w:hAnsi="Garamond" w:cs="Segoe UI"/>
          <w:color w:val="3A3A3A"/>
          <w:sz w:val="28"/>
          <w:szCs w:val="28"/>
          <w:lang w:val="fr-FR" w:eastAsia="fr-FR"/>
        </w:rPr>
        <w:t xml:space="preserve"> d’</w:t>
      </w:r>
      <w:proofErr w:type="spellStart"/>
      <w:r w:rsidRPr="006868F6">
        <w:rPr>
          <w:rFonts w:ascii="Garamond" w:eastAsia="Times New Roman" w:hAnsi="Garamond" w:cs="Segoe UI"/>
          <w:color w:val="3A3A3A"/>
          <w:sz w:val="28"/>
          <w:szCs w:val="28"/>
          <w:lang w:val="fr-FR" w:eastAsia="fr-FR"/>
        </w:rPr>
        <w:t>amore</w:t>
      </w:r>
      <w:proofErr w:type="spellEnd"/>
      <w:r w:rsidRPr="006868F6">
        <w:rPr>
          <w:rFonts w:ascii="Garamond" w:eastAsia="Times New Roman" w:hAnsi="Garamond" w:cs="Segoe UI"/>
          <w:color w:val="3A3A3A"/>
          <w:sz w:val="28"/>
          <w:szCs w:val="28"/>
          <w:lang w:val="fr-FR" w:eastAsia="fr-FR"/>
        </w:rPr>
        <w:t xml:space="preserve"> (1502), fait de Platon un kabbaliste.</w:t>
      </w:r>
    </w:p>
    <w:p w:rsidR="006868F6" w:rsidRPr="006868F6" w:rsidRDefault="006868F6" w:rsidP="00005877">
      <w:pPr>
        <w:spacing w:after="360" w:line="240" w:lineRule="auto"/>
        <w:jc w:val="both"/>
        <w:rPr>
          <w:rFonts w:ascii="Garamond" w:eastAsia="Times New Roman" w:hAnsi="Garamond" w:cs="Segoe UI"/>
          <w:color w:val="3A3A3A"/>
          <w:sz w:val="28"/>
          <w:szCs w:val="28"/>
          <w:lang w:val="fr-FR" w:eastAsia="fr-FR"/>
        </w:rPr>
      </w:pPr>
      <w:r w:rsidRPr="006868F6">
        <w:rPr>
          <w:rFonts w:ascii="Garamond" w:eastAsia="Times New Roman" w:hAnsi="Garamond" w:cs="Segoe UI"/>
          <w:color w:val="3A3A3A"/>
          <w:sz w:val="28"/>
          <w:szCs w:val="28"/>
          <w:lang w:val="fr-FR" w:eastAsia="fr-FR"/>
        </w:rPr>
        <w:lastRenderedPageBreak/>
        <w:t xml:space="preserve">Johannes Reuchlin (1455-1522), encore mal renseigné sur la kabbale lorsqu’il écrit son De </w:t>
      </w:r>
      <w:proofErr w:type="spellStart"/>
      <w:r w:rsidRPr="006868F6">
        <w:rPr>
          <w:rFonts w:ascii="Garamond" w:eastAsia="Times New Roman" w:hAnsi="Garamond" w:cs="Segoe UI"/>
          <w:color w:val="3A3A3A"/>
          <w:sz w:val="28"/>
          <w:szCs w:val="28"/>
          <w:lang w:val="fr-FR" w:eastAsia="fr-FR"/>
        </w:rPr>
        <w:t>Verbo</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mirifico</w:t>
      </w:r>
      <w:proofErr w:type="spellEnd"/>
      <w:r w:rsidRPr="006868F6">
        <w:rPr>
          <w:rFonts w:ascii="Garamond" w:eastAsia="Times New Roman" w:hAnsi="Garamond" w:cs="Segoe UI"/>
          <w:color w:val="3A3A3A"/>
          <w:sz w:val="28"/>
          <w:szCs w:val="28"/>
          <w:lang w:val="fr-FR" w:eastAsia="fr-FR"/>
        </w:rPr>
        <w:t xml:space="preserve"> (« Le Verbe qui fait des miracles », 1494), révèle, dans le De </w:t>
      </w:r>
      <w:proofErr w:type="spellStart"/>
      <w:r w:rsidRPr="006868F6">
        <w:rPr>
          <w:rFonts w:ascii="Garamond" w:eastAsia="Times New Roman" w:hAnsi="Garamond" w:cs="Segoe UI"/>
          <w:color w:val="3A3A3A"/>
          <w:sz w:val="28"/>
          <w:szCs w:val="28"/>
          <w:lang w:val="fr-FR" w:eastAsia="fr-FR"/>
        </w:rPr>
        <w:t>arte</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cabalistica</w:t>
      </w:r>
      <w:proofErr w:type="spellEnd"/>
      <w:r w:rsidRPr="006868F6">
        <w:rPr>
          <w:rFonts w:ascii="Garamond" w:eastAsia="Times New Roman" w:hAnsi="Garamond" w:cs="Segoe UI"/>
          <w:color w:val="3A3A3A"/>
          <w:sz w:val="28"/>
          <w:szCs w:val="28"/>
          <w:lang w:val="fr-FR" w:eastAsia="fr-FR"/>
        </w:rPr>
        <w:t xml:space="preserve"> («La Science de la kabbale», 1517), le vrai sens du pythagorisme et impose pour longtemps le Pentagramme du nom de Jésus (YHWSH), qui est le Tétragramme rendu prononçable. Le défenseur des livres hébreux y trouve plus pour entendre les Écritures que dans la scolastique encombrée d’Aristote. Il est soutenu par Paul </w:t>
      </w:r>
      <w:proofErr w:type="spellStart"/>
      <w:r w:rsidRPr="006868F6">
        <w:rPr>
          <w:rFonts w:ascii="Garamond" w:eastAsia="Times New Roman" w:hAnsi="Garamond" w:cs="Segoe UI"/>
          <w:color w:val="3A3A3A"/>
          <w:sz w:val="28"/>
          <w:szCs w:val="28"/>
          <w:lang w:val="fr-FR" w:eastAsia="fr-FR"/>
        </w:rPr>
        <w:t>Rici</w:t>
      </w:r>
      <w:proofErr w:type="spellEnd"/>
      <w:r w:rsidRPr="006868F6">
        <w:rPr>
          <w:rFonts w:ascii="Garamond" w:eastAsia="Times New Roman" w:hAnsi="Garamond" w:cs="Segoe UI"/>
          <w:color w:val="3A3A3A"/>
          <w:sz w:val="28"/>
          <w:szCs w:val="28"/>
          <w:lang w:val="fr-FR" w:eastAsia="fr-FR"/>
        </w:rPr>
        <w:t xml:space="preserve"> (Paulus </w:t>
      </w:r>
      <w:proofErr w:type="spellStart"/>
      <w:r w:rsidRPr="006868F6">
        <w:rPr>
          <w:rFonts w:ascii="Garamond" w:eastAsia="Times New Roman" w:hAnsi="Garamond" w:cs="Segoe UI"/>
          <w:color w:val="3A3A3A"/>
          <w:sz w:val="28"/>
          <w:szCs w:val="28"/>
          <w:lang w:val="fr-FR" w:eastAsia="fr-FR"/>
        </w:rPr>
        <w:t>Ricius</w:t>
      </w:r>
      <w:proofErr w:type="spellEnd"/>
      <w:r w:rsidRPr="006868F6">
        <w:rPr>
          <w:rFonts w:ascii="Garamond" w:eastAsia="Times New Roman" w:hAnsi="Garamond" w:cs="Segoe UI"/>
          <w:color w:val="3A3A3A"/>
          <w:sz w:val="28"/>
          <w:szCs w:val="28"/>
          <w:lang w:val="fr-FR" w:eastAsia="fr-FR"/>
        </w:rPr>
        <w:t xml:space="preserve">), un converti qui passe d’Italie en Allemagne et qui a notamment adapté ce compendium de kabbale qu’est le </w:t>
      </w:r>
      <w:proofErr w:type="spellStart"/>
      <w:r w:rsidRPr="006868F6">
        <w:rPr>
          <w:rFonts w:ascii="Garamond" w:eastAsia="Times New Roman" w:hAnsi="Garamond" w:cs="Segoe UI"/>
          <w:color w:val="3A3A3A"/>
          <w:sz w:val="28"/>
          <w:szCs w:val="28"/>
          <w:lang w:val="fr-FR" w:eastAsia="fr-FR"/>
        </w:rPr>
        <w:t>Shaarei</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Ora</w:t>
      </w:r>
      <w:proofErr w:type="spellEnd"/>
      <w:r w:rsidRPr="006868F6">
        <w:rPr>
          <w:rFonts w:ascii="Garamond" w:eastAsia="Times New Roman" w:hAnsi="Garamond" w:cs="Segoe UI"/>
          <w:color w:val="3A3A3A"/>
          <w:sz w:val="28"/>
          <w:szCs w:val="28"/>
          <w:lang w:val="fr-FR" w:eastAsia="fr-FR"/>
        </w:rPr>
        <w:t xml:space="preserve"> (« Les Portes de la lumière », 1515), ainsi que par Petrus </w:t>
      </w:r>
      <w:proofErr w:type="spellStart"/>
      <w:r w:rsidRPr="006868F6">
        <w:rPr>
          <w:rFonts w:ascii="Garamond" w:eastAsia="Times New Roman" w:hAnsi="Garamond" w:cs="Segoe UI"/>
          <w:color w:val="3A3A3A"/>
          <w:sz w:val="28"/>
          <w:szCs w:val="28"/>
          <w:lang w:val="fr-FR" w:eastAsia="fr-FR"/>
        </w:rPr>
        <w:t>Galatinus</w:t>
      </w:r>
      <w:proofErr w:type="spellEnd"/>
      <w:r w:rsidRPr="006868F6">
        <w:rPr>
          <w:rFonts w:ascii="Garamond" w:eastAsia="Times New Roman" w:hAnsi="Garamond" w:cs="Segoe UI"/>
          <w:color w:val="3A3A3A"/>
          <w:sz w:val="28"/>
          <w:szCs w:val="28"/>
          <w:lang w:val="fr-FR" w:eastAsia="fr-FR"/>
        </w:rPr>
        <w:t xml:space="preserve">, un franciscain qui se prend d’ailleurs pour le Pape angélique annoncé par les disciples de Joachim de Flore. Dans son De </w:t>
      </w:r>
      <w:proofErr w:type="spellStart"/>
      <w:r w:rsidRPr="006868F6">
        <w:rPr>
          <w:rFonts w:ascii="Garamond" w:eastAsia="Times New Roman" w:hAnsi="Garamond" w:cs="Segoe UI"/>
          <w:color w:val="3A3A3A"/>
          <w:sz w:val="28"/>
          <w:szCs w:val="28"/>
          <w:lang w:val="fr-FR" w:eastAsia="fr-FR"/>
        </w:rPr>
        <w:t>arcanis</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catholicae</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veritatis</w:t>
      </w:r>
      <w:proofErr w:type="spellEnd"/>
      <w:r w:rsidRPr="006868F6">
        <w:rPr>
          <w:rFonts w:ascii="Garamond" w:eastAsia="Times New Roman" w:hAnsi="Garamond" w:cs="Segoe UI"/>
          <w:color w:val="3A3A3A"/>
          <w:sz w:val="28"/>
          <w:szCs w:val="28"/>
          <w:lang w:val="fr-FR" w:eastAsia="fr-FR"/>
        </w:rPr>
        <w:t xml:space="preserve"> (« Les Mystères de la vérité catholique », 1518), il reprend l’érudition du </w:t>
      </w:r>
      <w:proofErr w:type="spellStart"/>
      <w:r w:rsidRPr="006868F6">
        <w:rPr>
          <w:rFonts w:ascii="Garamond" w:eastAsia="Times New Roman" w:hAnsi="Garamond" w:cs="Segoe UI"/>
          <w:color w:val="3A3A3A"/>
          <w:sz w:val="28"/>
          <w:szCs w:val="28"/>
          <w:lang w:val="fr-FR" w:eastAsia="fr-FR"/>
        </w:rPr>
        <w:t>Pugio</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fidei</w:t>
      </w:r>
      <w:proofErr w:type="spellEnd"/>
      <w:r w:rsidRPr="006868F6">
        <w:rPr>
          <w:rFonts w:ascii="Garamond" w:eastAsia="Times New Roman" w:hAnsi="Garamond" w:cs="Segoe UI"/>
          <w:color w:val="3A3A3A"/>
          <w:sz w:val="28"/>
          <w:szCs w:val="28"/>
          <w:lang w:val="fr-FR" w:eastAsia="fr-FR"/>
        </w:rPr>
        <w:t xml:space="preserve">, qui avait trouvé « des perles dans le fumier des rabbins », et propose l’étude du Talmud (que Léon X laissera imprimer par un chrétien, Daniel </w:t>
      </w:r>
      <w:proofErr w:type="spellStart"/>
      <w:r w:rsidRPr="006868F6">
        <w:rPr>
          <w:rFonts w:ascii="Garamond" w:eastAsia="Times New Roman" w:hAnsi="Garamond" w:cs="Segoe UI"/>
          <w:color w:val="3A3A3A"/>
          <w:sz w:val="28"/>
          <w:szCs w:val="28"/>
          <w:lang w:val="fr-FR" w:eastAsia="fr-FR"/>
        </w:rPr>
        <w:t>Bomberg</w:t>
      </w:r>
      <w:proofErr w:type="spellEnd"/>
      <w:r w:rsidRPr="006868F6">
        <w:rPr>
          <w:rFonts w:ascii="Garamond" w:eastAsia="Times New Roman" w:hAnsi="Garamond" w:cs="Segoe UI"/>
          <w:color w:val="3A3A3A"/>
          <w:sz w:val="28"/>
          <w:szCs w:val="28"/>
          <w:lang w:val="fr-FR" w:eastAsia="fr-FR"/>
        </w:rPr>
        <w:t xml:space="preserve">) à la lumière du Gale </w:t>
      </w:r>
      <w:proofErr w:type="spellStart"/>
      <w:r w:rsidRPr="006868F6">
        <w:rPr>
          <w:rFonts w:ascii="Garamond" w:eastAsia="Times New Roman" w:hAnsi="Garamond" w:cs="Segoe UI"/>
          <w:color w:val="3A3A3A"/>
          <w:sz w:val="28"/>
          <w:szCs w:val="28"/>
          <w:lang w:val="fr-FR" w:eastAsia="fr-FR"/>
        </w:rPr>
        <w:t>Razeia</w:t>
      </w:r>
      <w:proofErr w:type="spellEnd"/>
      <w:r w:rsidRPr="006868F6">
        <w:rPr>
          <w:rFonts w:ascii="Garamond" w:eastAsia="Times New Roman" w:hAnsi="Garamond" w:cs="Segoe UI"/>
          <w:color w:val="3A3A3A"/>
          <w:sz w:val="28"/>
          <w:szCs w:val="28"/>
          <w:lang w:val="fr-FR" w:eastAsia="fr-FR"/>
        </w:rPr>
        <w:t>, dont il reprend presque le titre pour son propre ouvrage.</w:t>
      </w:r>
    </w:p>
    <w:p w:rsidR="006868F6" w:rsidRPr="006868F6" w:rsidRDefault="006868F6" w:rsidP="00005877">
      <w:pPr>
        <w:spacing w:after="360" w:line="240" w:lineRule="auto"/>
        <w:jc w:val="both"/>
        <w:rPr>
          <w:rFonts w:ascii="Garamond" w:eastAsia="Times New Roman" w:hAnsi="Garamond" w:cs="Segoe UI"/>
          <w:color w:val="3A3A3A"/>
          <w:sz w:val="28"/>
          <w:szCs w:val="28"/>
          <w:lang w:val="fr-FR" w:eastAsia="fr-FR"/>
        </w:rPr>
      </w:pPr>
      <w:r w:rsidRPr="006868F6">
        <w:rPr>
          <w:rFonts w:ascii="Garamond" w:eastAsia="Times New Roman" w:hAnsi="Garamond" w:cs="Segoe UI"/>
          <w:color w:val="3A3A3A"/>
          <w:sz w:val="28"/>
          <w:szCs w:val="28"/>
          <w:lang w:val="fr-FR" w:eastAsia="fr-FR"/>
        </w:rPr>
        <w:t xml:space="preserve">Un autre défenseur de Reuchlin est Gilles de Viterbe (Egidio da Viterbo, 1465-1532), le général de l’ordre des Ermites de saint Augustin, auquel appartient Luther. Imbu des idées du dominicain </w:t>
      </w:r>
      <w:proofErr w:type="spellStart"/>
      <w:r w:rsidRPr="006868F6">
        <w:rPr>
          <w:rFonts w:ascii="Garamond" w:eastAsia="Times New Roman" w:hAnsi="Garamond" w:cs="Segoe UI"/>
          <w:color w:val="3A3A3A"/>
          <w:sz w:val="28"/>
          <w:szCs w:val="28"/>
          <w:lang w:val="fr-FR" w:eastAsia="fr-FR"/>
        </w:rPr>
        <w:t>Annius</w:t>
      </w:r>
      <w:proofErr w:type="spellEnd"/>
      <w:r w:rsidRPr="006868F6">
        <w:rPr>
          <w:rFonts w:ascii="Garamond" w:eastAsia="Times New Roman" w:hAnsi="Garamond" w:cs="Segoe UI"/>
          <w:color w:val="3A3A3A"/>
          <w:sz w:val="28"/>
          <w:szCs w:val="28"/>
          <w:lang w:val="fr-FR" w:eastAsia="fr-FR"/>
        </w:rPr>
        <w:t xml:space="preserve"> de Viterbe (Giovanni Nanni, 1432-1502) sur la civilisation araméenne des Étrusques, entouré de savants juifs, dont le plus célèbre est Élias </w:t>
      </w:r>
      <w:proofErr w:type="spellStart"/>
      <w:r w:rsidRPr="006868F6">
        <w:rPr>
          <w:rFonts w:ascii="Garamond" w:eastAsia="Times New Roman" w:hAnsi="Garamond" w:cs="Segoe UI"/>
          <w:color w:val="3A3A3A"/>
          <w:sz w:val="28"/>
          <w:szCs w:val="28"/>
          <w:lang w:val="fr-FR" w:eastAsia="fr-FR"/>
        </w:rPr>
        <w:t>Levita</w:t>
      </w:r>
      <w:proofErr w:type="spellEnd"/>
      <w:r w:rsidRPr="006868F6">
        <w:rPr>
          <w:rFonts w:ascii="Garamond" w:eastAsia="Times New Roman" w:hAnsi="Garamond" w:cs="Segoe UI"/>
          <w:color w:val="3A3A3A"/>
          <w:sz w:val="28"/>
          <w:szCs w:val="28"/>
          <w:lang w:val="fr-FR" w:eastAsia="fr-FR"/>
        </w:rPr>
        <w:t xml:space="preserve"> (1469-1549), Gilles traduit les principaux monuments de la kabbale, </w:t>
      </w:r>
      <w:r w:rsidRPr="006868F6">
        <w:rPr>
          <w:rFonts w:ascii="Garamond" w:eastAsia="Times New Roman" w:hAnsi="Garamond" w:cs="Segoe UI"/>
          <w:color w:val="3A3A3A"/>
          <w:sz w:val="28"/>
          <w:szCs w:val="28"/>
          <w:lang w:val="fr-FR" w:eastAsia="fr-FR"/>
        </w:rPr>
        <w:lastRenderedPageBreak/>
        <w:t xml:space="preserve">où il retrouve le vrai sens de la philosophie italique, dont Virgile fut l’élève; son traité De </w:t>
      </w:r>
      <w:proofErr w:type="spellStart"/>
      <w:r w:rsidRPr="006868F6">
        <w:rPr>
          <w:rFonts w:ascii="Garamond" w:eastAsia="Times New Roman" w:hAnsi="Garamond" w:cs="Segoe UI"/>
          <w:color w:val="3A3A3A"/>
          <w:sz w:val="28"/>
          <w:szCs w:val="28"/>
          <w:lang w:val="fr-FR" w:eastAsia="fr-FR"/>
        </w:rPr>
        <w:t>litteris</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sanctis</w:t>
      </w:r>
      <w:proofErr w:type="spellEnd"/>
      <w:r w:rsidRPr="006868F6">
        <w:rPr>
          <w:rFonts w:ascii="Garamond" w:eastAsia="Times New Roman" w:hAnsi="Garamond" w:cs="Segoe UI"/>
          <w:color w:val="3A3A3A"/>
          <w:sz w:val="28"/>
          <w:szCs w:val="28"/>
          <w:lang w:val="fr-FR" w:eastAsia="fr-FR"/>
        </w:rPr>
        <w:t xml:space="preserve"> («Les Lettres saintes», 1517), fut publié partiellement par </w:t>
      </w:r>
      <w:proofErr w:type="spellStart"/>
      <w:r w:rsidRPr="006868F6">
        <w:rPr>
          <w:rFonts w:ascii="Garamond" w:eastAsia="Times New Roman" w:hAnsi="Garamond" w:cs="Segoe UI"/>
          <w:color w:val="3A3A3A"/>
          <w:sz w:val="28"/>
          <w:szCs w:val="28"/>
          <w:lang w:val="fr-FR" w:eastAsia="fr-FR"/>
        </w:rPr>
        <w:t>Teseo</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Ambrogio</w:t>
      </w:r>
      <w:proofErr w:type="spellEnd"/>
      <w:r w:rsidRPr="006868F6">
        <w:rPr>
          <w:rFonts w:ascii="Garamond" w:eastAsia="Times New Roman" w:hAnsi="Garamond" w:cs="Segoe UI"/>
          <w:color w:val="3A3A3A"/>
          <w:sz w:val="28"/>
          <w:szCs w:val="28"/>
          <w:lang w:val="fr-FR" w:eastAsia="fr-FR"/>
        </w:rPr>
        <w:t xml:space="preserve"> dans son </w:t>
      </w:r>
      <w:proofErr w:type="spellStart"/>
      <w:r w:rsidRPr="006868F6">
        <w:rPr>
          <w:rFonts w:ascii="Garamond" w:eastAsia="Times New Roman" w:hAnsi="Garamond" w:cs="Segoe UI"/>
          <w:color w:val="3A3A3A"/>
          <w:sz w:val="28"/>
          <w:szCs w:val="28"/>
          <w:lang w:val="fr-FR" w:eastAsia="fr-FR"/>
        </w:rPr>
        <w:t>Introductio</w:t>
      </w:r>
      <w:proofErr w:type="spellEnd"/>
      <w:r w:rsidRPr="006868F6">
        <w:rPr>
          <w:rFonts w:ascii="Garamond" w:eastAsia="Times New Roman" w:hAnsi="Garamond" w:cs="Segoe UI"/>
          <w:color w:val="3A3A3A"/>
          <w:sz w:val="28"/>
          <w:szCs w:val="28"/>
          <w:lang w:val="fr-FR" w:eastAsia="fr-FR"/>
        </w:rPr>
        <w:t xml:space="preserve"> in </w:t>
      </w:r>
      <w:proofErr w:type="spellStart"/>
      <w:r w:rsidRPr="006868F6">
        <w:rPr>
          <w:rFonts w:ascii="Garamond" w:eastAsia="Times New Roman" w:hAnsi="Garamond" w:cs="Segoe UI"/>
          <w:color w:val="3A3A3A"/>
          <w:sz w:val="28"/>
          <w:szCs w:val="28"/>
          <w:lang w:val="fr-FR" w:eastAsia="fr-FR"/>
        </w:rPr>
        <w:t>chaldaicam</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linguam</w:t>
      </w:r>
      <w:proofErr w:type="spellEnd"/>
      <w:r w:rsidRPr="006868F6">
        <w:rPr>
          <w:rFonts w:ascii="Garamond" w:eastAsia="Times New Roman" w:hAnsi="Garamond" w:cs="Segoe UI"/>
          <w:color w:val="3A3A3A"/>
          <w:sz w:val="28"/>
          <w:szCs w:val="28"/>
          <w:lang w:val="fr-FR" w:eastAsia="fr-FR"/>
        </w:rPr>
        <w:t xml:space="preserve"> («Introduction à la langue chaldaïque», 1539); mais sa grande œuvre, </w:t>
      </w:r>
      <w:proofErr w:type="spellStart"/>
      <w:r w:rsidRPr="006868F6">
        <w:rPr>
          <w:rFonts w:ascii="Garamond" w:eastAsia="Times New Roman" w:hAnsi="Garamond" w:cs="Segoe UI"/>
          <w:color w:val="3A3A3A"/>
          <w:sz w:val="28"/>
          <w:szCs w:val="28"/>
          <w:lang w:val="fr-FR" w:eastAsia="fr-FR"/>
        </w:rPr>
        <w:t>Scechina</w:t>
      </w:r>
      <w:proofErr w:type="spellEnd"/>
      <w:r w:rsidRPr="006868F6">
        <w:rPr>
          <w:rFonts w:ascii="Garamond" w:eastAsia="Times New Roman" w:hAnsi="Garamond" w:cs="Segoe UI"/>
          <w:color w:val="3A3A3A"/>
          <w:sz w:val="28"/>
          <w:szCs w:val="28"/>
          <w:lang w:val="fr-FR" w:eastAsia="fr-FR"/>
        </w:rPr>
        <w:t xml:space="preserve">, dans laquelle la dixième </w:t>
      </w:r>
      <w:proofErr w:type="spellStart"/>
      <w:r w:rsidRPr="006868F6">
        <w:rPr>
          <w:rFonts w:ascii="Garamond" w:eastAsia="Times New Roman" w:hAnsi="Garamond" w:cs="Segoe UI"/>
          <w:color w:val="3A3A3A"/>
          <w:sz w:val="28"/>
          <w:szCs w:val="28"/>
          <w:lang w:val="fr-FR" w:eastAsia="fr-FR"/>
        </w:rPr>
        <w:t>sephira</w:t>
      </w:r>
      <w:proofErr w:type="spellEnd"/>
      <w:r w:rsidRPr="006868F6">
        <w:rPr>
          <w:rFonts w:ascii="Garamond" w:eastAsia="Times New Roman" w:hAnsi="Garamond" w:cs="Segoe UI"/>
          <w:color w:val="3A3A3A"/>
          <w:sz w:val="28"/>
          <w:szCs w:val="28"/>
          <w:lang w:val="fr-FR" w:eastAsia="fr-FR"/>
        </w:rPr>
        <w:t xml:space="preserve"> révèle la kabbale à Clément VII et à Charles Quint, est restée manuscrite: elle n’a été éditée qu’en 1959. Et ce sont les œuvres de son contemporain, le franciscain François Georges de Venise (Francesco </w:t>
      </w:r>
      <w:proofErr w:type="spellStart"/>
      <w:r w:rsidRPr="006868F6">
        <w:rPr>
          <w:rFonts w:ascii="Garamond" w:eastAsia="Times New Roman" w:hAnsi="Garamond" w:cs="Segoe UI"/>
          <w:color w:val="3A3A3A"/>
          <w:sz w:val="28"/>
          <w:szCs w:val="28"/>
          <w:lang w:val="fr-FR" w:eastAsia="fr-FR"/>
        </w:rPr>
        <w:t>Zorzi</w:t>
      </w:r>
      <w:proofErr w:type="spellEnd"/>
      <w:r w:rsidRPr="006868F6">
        <w:rPr>
          <w:rFonts w:ascii="Garamond" w:eastAsia="Times New Roman" w:hAnsi="Garamond" w:cs="Segoe UI"/>
          <w:color w:val="3A3A3A"/>
          <w:sz w:val="28"/>
          <w:szCs w:val="28"/>
          <w:lang w:val="fr-FR" w:eastAsia="fr-FR"/>
        </w:rPr>
        <w:t xml:space="preserve">, 1453-1540), De harmonia </w:t>
      </w:r>
      <w:proofErr w:type="spellStart"/>
      <w:r w:rsidRPr="006868F6">
        <w:rPr>
          <w:rFonts w:ascii="Garamond" w:eastAsia="Times New Roman" w:hAnsi="Garamond" w:cs="Segoe UI"/>
          <w:color w:val="3A3A3A"/>
          <w:sz w:val="28"/>
          <w:szCs w:val="28"/>
          <w:lang w:val="fr-FR" w:eastAsia="fr-FR"/>
        </w:rPr>
        <w:t>mundi</w:t>
      </w:r>
      <w:proofErr w:type="spellEnd"/>
      <w:r w:rsidRPr="006868F6">
        <w:rPr>
          <w:rFonts w:ascii="Garamond" w:eastAsia="Times New Roman" w:hAnsi="Garamond" w:cs="Segoe UI"/>
          <w:color w:val="3A3A3A"/>
          <w:sz w:val="28"/>
          <w:szCs w:val="28"/>
          <w:lang w:val="fr-FR" w:eastAsia="fr-FR"/>
        </w:rPr>
        <w:t xml:space="preserve"> (1525) et </w:t>
      </w:r>
      <w:proofErr w:type="spellStart"/>
      <w:r w:rsidRPr="006868F6">
        <w:rPr>
          <w:rFonts w:ascii="Garamond" w:eastAsia="Times New Roman" w:hAnsi="Garamond" w:cs="Segoe UI"/>
          <w:color w:val="3A3A3A"/>
          <w:sz w:val="28"/>
          <w:szCs w:val="28"/>
          <w:lang w:val="fr-FR" w:eastAsia="fr-FR"/>
        </w:rPr>
        <w:t>Problemata</w:t>
      </w:r>
      <w:proofErr w:type="spellEnd"/>
      <w:r w:rsidRPr="006868F6">
        <w:rPr>
          <w:rFonts w:ascii="Garamond" w:eastAsia="Times New Roman" w:hAnsi="Garamond" w:cs="Segoe UI"/>
          <w:color w:val="3A3A3A"/>
          <w:sz w:val="28"/>
          <w:szCs w:val="28"/>
          <w:lang w:val="fr-FR" w:eastAsia="fr-FR"/>
        </w:rPr>
        <w:t xml:space="preserve"> (1536), qui achevèrent de répandre la kabbale, avec celles d’un de ses élèves, le franciscain </w:t>
      </w:r>
      <w:proofErr w:type="spellStart"/>
      <w:r w:rsidRPr="006868F6">
        <w:rPr>
          <w:rFonts w:ascii="Garamond" w:eastAsia="Times New Roman" w:hAnsi="Garamond" w:cs="Segoe UI"/>
          <w:color w:val="3A3A3A"/>
          <w:sz w:val="28"/>
          <w:szCs w:val="28"/>
          <w:lang w:val="fr-FR" w:eastAsia="fr-FR"/>
        </w:rPr>
        <w:t>Archangelus</w:t>
      </w:r>
      <w:proofErr w:type="spellEnd"/>
      <w:r w:rsidRPr="006868F6">
        <w:rPr>
          <w:rFonts w:ascii="Garamond" w:eastAsia="Times New Roman" w:hAnsi="Garamond" w:cs="Segoe UI"/>
          <w:color w:val="3A3A3A"/>
          <w:sz w:val="28"/>
          <w:szCs w:val="28"/>
          <w:lang w:val="fr-FR" w:eastAsia="fr-FR"/>
        </w:rPr>
        <w:t xml:space="preserve"> de </w:t>
      </w:r>
      <w:proofErr w:type="spellStart"/>
      <w:r w:rsidRPr="006868F6">
        <w:rPr>
          <w:rFonts w:ascii="Garamond" w:eastAsia="Times New Roman" w:hAnsi="Garamond" w:cs="Segoe UI"/>
          <w:color w:val="3A3A3A"/>
          <w:sz w:val="28"/>
          <w:szCs w:val="28"/>
          <w:lang w:val="fr-FR" w:eastAsia="fr-FR"/>
        </w:rPr>
        <w:t>Burgonovo</w:t>
      </w:r>
      <w:proofErr w:type="spellEnd"/>
      <w:r w:rsidRPr="006868F6">
        <w:rPr>
          <w:rFonts w:ascii="Garamond" w:eastAsia="Times New Roman" w:hAnsi="Garamond" w:cs="Segoe UI"/>
          <w:color w:val="3A3A3A"/>
          <w:sz w:val="28"/>
          <w:szCs w:val="28"/>
          <w:lang w:val="fr-FR" w:eastAsia="fr-FR"/>
        </w:rPr>
        <w:t xml:space="preserve">, qui le pilla et publia sous son propre nom les leçons qu’il avait faites pour expliquer les deux séries de thèses kabbalistiques de Pic de La Mirandole. La plupart de ces auteurs, auxquels H. C. Agrippa (1486-1535) fit d’abondants emprunts pour son De occulta </w:t>
      </w:r>
      <w:proofErr w:type="spellStart"/>
      <w:r w:rsidRPr="006868F6">
        <w:rPr>
          <w:rFonts w:ascii="Garamond" w:eastAsia="Times New Roman" w:hAnsi="Garamond" w:cs="Segoe UI"/>
          <w:color w:val="3A3A3A"/>
          <w:sz w:val="28"/>
          <w:szCs w:val="28"/>
          <w:lang w:val="fr-FR" w:eastAsia="fr-FR"/>
        </w:rPr>
        <w:t>philosophia</w:t>
      </w:r>
      <w:proofErr w:type="spellEnd"/>
      <w:r w:rsidRPr="006868F6">
        <w:rPr>
          <w:rFonts w:ascii="Garamond" w:eastAsia="Times New Roman" w:hAnsi="Garamond" w:cs="Segoe UI"/>
          <w:color w:val="3A3A3A"/>
          <w:sz w:val="28"/>
          <w:szCs w:val="28"/>
          <w:lang w:val="fr-FR" w:eastAsia="fr-FR"/>
        </w:rPr>
        <w:t xml:space="preserve"> («La Philosophie occulte», 1533), furent recueillis dans l’in-folio publié en 1587 par Joannes </w:t>
      </w:r>
      <w:proofErr w:type="spellStart"/>
      <w:r w:rsidRPr="006868F6">
        <w:rPr>
          <w:rFonts w:ascii="Garamond" w:eastAsia="Times New Roman" w:hAnsi="Garamond" w:cs="Segoe UI"/>
          <w:color w:val="3A3A3A"/>
          <w:sz w:val="28"/>
          <w:szCs w:val="28"/>
          <w:lang w:val="fr-FR" w:eastAsia="fr-FR"/>
        </w:rPr>
        <w:t>Pistorius</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Artis</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cabalisticae</w:t>
      </w:r>
      <w:proofErr w:type="spellEnd"/>
      <w:r w:rsidRPr="006868F6">
        <w:rPr>
          <w:rFonts w:ascii="Garamond" w:eastAsia="Times New Roman" w:hAnsi="Garamond" w:cs="Segoe UI"/>
          <w:color w:val="3A3A3A"/>
          <w:sz w:val="28"/>
          <w:szCs w:val="28"/>
          <w:lang w:val="fr-FR" w:eastAsia="fr-FR"/>
        </w:rPr>
        <w:t xml:space="preserve">, hoc est </w:t>
      </w:r>
      <w:proofErr w:type="spellStart"/>
      <w:r w:rsidRPr="006868F6">
        <w:rPr>
          <w:rFonts w:ascii="Garamond" w:eastAsia="Times New Roman" w:hAnsi="Garamond" w:cs="Segoe UI"/>
          <w:color w:val="3A3A3A"/>
          <w:sz w:val="28"/>
          <w:szCs w:val="28"/>
          <w:lang w:val="fr-FR" w:eastAsia="fr-FR"/>
        </w:rPr>
        <w:t>reconditae</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theologiae</w:t>
      </w:r>
      <w:proofErr w:type="spellEnd"/>
      <w:r w:rsidRPr="006868F6">
        <w:rPr>
          <w:rFonts w:ascii="Garamond" w:eastAsia="Times New Roman" w:hAnsi="Garamond" w:cs="Segoe UI"/>
          <w:color w:val="3A3A3A"/>
          <w:sz w:val="28"/>
          <w:szCs w:val="28"/>
          <w:lang w:val="fr-FR" w:eastAsia="fr-FR"/>
        </w:rPr>
        <w:t xml:space="preserve"> et </w:t>
      </w:r>
      <w:proofErr w:type="spellStart"/>
      <w:r w:rsidRPr="006868F6">
        <w:rPr>
          <w:rFonts w:ascii="Garamond" w:eastAsia="Times New Roman" w:hAnsi="Garamond" w:cs="Segoe UI"/>
          <w:color w:val="3A3A3A"/>
          <w:sz w:val="28"/>
          <w:szCs w:val="28"/>
          <w:lang w:val="fr-FR" w:eastAsia="fr-FR"/>
        </w:rPr>
        <w:t>philosophiae</w:t>
      </w:r>
      <w:proofErr w:type="spellEnd"/>
      <w:r w:rsidRPr="006868F6">
        <w:rPr>
          <w:rFonts w:ascii="Garamond" w:eastAsia="Times New Roman" w:hAnsi="Garamond" w:cs="Segoe UI"/>
          <w:color w:val="3A3A3A"/>
          <w:sz w:val="28"/>
          <w:szCs w:val="28"/>
          <w:lang w:val="fr-FR" w:eastAsia="fr-FR"/>
        </w:rPr>
        <w:t xml:space="preserve"> scripta, qu’on</w:t>
      </w:r>
      <w:r>
        <w:rPr>
          <w:rFonts w:ascii="Garamond" w:eastAsia="Times New Roman" w:hAnsi="Garamond" w:cs="Segoe UI"/>
          <w:color w:val="3A3A3A"/>
          <w:sz w:val="28"/>
          <w:szCs w:val="28"/>
          <w:lang w:val="fr-FR" w:eastAsia="fr-FR"/>
        </w:rPr>
        <w:t xml:space="preserve"> </w:t>
      </w:r>
      <w:r w:rsidRPr="006868F6">
        <w:rPr>
          <w:rFonts w:ascii="Garamond" w:eastAsia="Times New Roman" w:hAnsi="Garamond" w:cs="Segoe UI"/>
          <w:color w:val="3A3A3A"/>
          <w:sz w:val="28"/>
          <w:szCs w:val="28"/>
          <w:lang w:val="fr-FR" w:eastAsia="fr-FR"/>
        </w:rPr>
        <w:t>a appelé la bible de la kabbale chrétienne. </w:t>
      </w:r>
    </w:p>
    <w:p w:rsidR="006868F6" w:rsidRPr="006868F6" w:rsidRDefault="006868F6" w:rsidP="00005877">
      <w:pPr>
        <w:spacing w:after="360" w:line="240" w:lineRule="auto"/>
        <w:jc w:val="both"/>
        <w:rPr>
          <w:rFonts w:ascii="Garamond" w:eastAsia="Times New Roman" w:hAnsi="Garamond" w:cs="Segoe UI"/>
          <w:color w:val="3A3A3A"/>
          <w:sz w:val="28"/>
          <w:szCs w:val="28"/>
          <w:lang w:val="fr-FR" w:eastAsia="fr-FR"/>
        </w:rPr>
      </w:pPr>
      <w:r w:rsidRPr="006868F6">
        <w:rPr>
          <w:rFonts w:ascii="Garamond" w:eastAsia="Times New Roman" w:hAnsi="Garamond" w:cs="Segoe UI"/>
          <w:color w:val="3A3A3A"/>
          <w:sz w:val="28"/>
          <w:szCs w:val="28"/>
          <w:lang w:val="fr-FR" w:eastAsia="fr-FR"/>
        </w:rPr>
        <w:t xml:space="preserve">Encore que, au cours de la Contre-Réforme, la méfiance s’accroisse contre la kabbale, l’Italie reste un centre important d’ouvrages de kabbale chrétienne. Laurent de Brindes (1559-1619), qu’on trouve à Prague auprès de Rudolf II avec Joannes Pistorius et qu’on a canonisé, est encore enthousiaste de la kabbale. Le cardinal </w:t>
      </w:r>
      <w:proofErr w:type="spellStart"/>
      <w:r w:rsidRPr="006868F6">
        <w:rPr>
          <w:rFonts w:ascii="Garamond" w:eastAsia="Times New Roman" w:hAnsi="Garamond" w:cs="Segoe UI"/>
          <w:color w:val="3A3A3A"/>
          <w:sz w:val="28"/>
          <w:szCs w:val="28"/>
          <w:lang w:val="fr-FR" w:eastAsia="fr-FR"/>
        </w:rPr>
        <w:t>Federigo</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Borromeo</w:t>
      </w:r>
      <w:proofErr w:type="spellEnd"/>
      <w:r w:rsidRPr="006868F6">
        <w:rPr>
          <w:rFonts w:ascii="Garamond" w:eastAsia="Times New Roman" w:hAnsi="Garamond" w:cs="Segoe UI"/>
          <w:color w:val="3A3A3A"/>
          <w:sz w:val="28"/>
          <w:szCs w:val="28"/>
          <w:lang w:val="fr-FR" w:eastAsia="fr-FR"/>
        </w:rPr>
        <w:t xml:space="preserve"> (1564-1631), le fondateur de la Bibliothèque </w:t>
      </w:r>
      <w:r w:rsidRPr="006868F6">
        <w:rPr>
          <w:rFonts w:ascii="Garamond" w:eastAsia="Times New Roman" w:hAnsi="Garamond" w:cs="Segoe UI"/>
          <w:color w:val="3A3A3A"/>
          <w:sz w:val="28"/>
          <w:szCs w:val="28"/>
          <w:lang w:val="fr-FR" w:eastAsia="fr-FR"/>
        </w:rPr>
        <w:lastRenderedPageBreak/>
        <w:t xml:space="preserve">ambrosienne de Milan, s’il publie le De </w:t>
      </w:r>
      <w:proofErr w:type="spellStart"/>
      <w:r w:rsidRPr="006868F6">
        <w:rPr>
          <w:rFonts w:ascii="Garamond" w:eastAsia="Times New Roman" w:hAnsi="Garamond" w:cs="Segoe UI"/>
          <w:color w:val="3A3A3A"/>
          <w:sz w:val="28"/>
          <w:szCs w:val="28"/>
          <w:lang w:val="fr-FR" w:eastAsia="fr-FR"/>
        </w:rPr>
        <w:t>cabalisticis</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inventis</w:t>
      </w:r>
      <w:proofErr w:type="spellEnd"/>
      <w:r w:rsidRPr="006868F6">
        <w:rPr>
          <w:rFonts w:ascii="Garamond" w:eastAsia="Times New Roman" w:hAnsi="Garamond" w:cs="Segoe UI"/>
          <w:color w:val="3A3A3A"/>
          <w:sz w:val="28"/>
          <w:szCs w:val="28"/>
          <w:lang w:val="fr-FR" w:eastAsia="fr-FR"/>
        </w:rPr>
        <w:t xml:space="preserve"> («Les Inventions des kabbalistes», 1627), collectionne, en relation avec les </w:t>
      </w:r>
      <w:proofErr w:type="spellStart"/>
      <w:r w:rsidRPr="006868F6">
        <w:rPr>
          <w:rFonts w:ascii="Garamond" w:eastAsia="Times New Roman" w:hAnsi="Garamond" w:cs="Segoe UI"/>
          <w:color w:val="3A3A3A"/>
          <w:sz w:val="28"/>
          <w:szCs w:val="28"/>
          <w:lang w:val="fr-FR" w:eastAsia="fr-FR"/>
        </w:rPr>
        <w:t>scriptores</w:t>
      </w:r>
      <w:proofErr w:type="spellEnd"/>
      <w:r w:rsidRPr="006868F6">
        <w:rPr>
          <w:rFonts w:ascii="Garamond" w:eastAsia="Times New Roman" w:hAnsi="Garamond" w:cs="Segoe UI"/>
          <w:color w:val="3A3A3A"/>
          <w:sz w:val="28"/>
          <w:szCs w:val="28"/>
          <w:lang w:val="fr-FR" w:eastAsia="fr-FR"/>
        </w:rPr>
        <w:t xml:space="preserve"> de la Bibliothèque vaticane, les œuvres de kabbale. À Rome, où, à la Casa dei </w:t>
      </w:r>
      <w:proofErr w:type="spellStart"/>
      <w:r w:rsidRPr="006868F6">
        <w:rPr>
          <w:rFonts w:ascii="Garamond" w:eastAsia="Times New Roman" w:hAnsi="Garamond" w:cs="Segoe UI"/>
          <w:color w:val="3A3A3A"/>
          <w:sz w:val="28"/>
          <w:szCs w:val="28"/>
          <w:lang w:val="fr-FR" w:eastAsia="fr-FR"/>
        </w:rPr>
        <w:t>neofiti</w:t>
      </w:r>
      <w:proofErr w:type="spellEnd"/>
      <w:r w:rsidRPr="006868F6">
        <w:rPr>
          <w:rFonts w:ascii="Garamond" w:eastAsia="Times New Roman" w:hAnsi="Garamond" w:cs="Segoe UI"/>
          <w:color w:val="3A3A3A"/>
          <w:sz w:val="28"/>
          <w:szCs w:val="28"/>
          <w:lang w:val="fr-FR" w:eastAsia="fr-FR"/>
        </w:rPr>
        <w:t xml:space="preserve">, travaillent les convertis, A. Kircher publie son </w:t>
      </w:r>
      <w:proofErr w:type="spellStart"/>
      <w:r w:rsidRPr="006868F6">
        <w:rPr>
          <w:rFonts w:ascii="Garamond" w:eastAsia="Times New Roman" w:hAnsi="Garamond" w:cs="Segoe UI"/>
          <w:color w:val="3A3A3A"/>
          <w:sz w:val="28"/>
          <w:szCs w:val="28"/>
          <w:lang w:val="fr-FR" w:eastAsia="fr-FR"/>
        </w:rPr>
        <w:t>Œdipus</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Ægyptiacus</w:t>
      </w:r>
      <w:proofErr w:type="spellEnd"/>
      <w:r w:rsidRPr="006868F6">
        <w:rPr>
          <w:rFonts w:ascii="Garamond" w:eastAsia="Times New Roman" w:hAnsi="Garamond" w:cs="Segoe UI"/>
          <w:color w:val="3A3A3A"/>
          <w:sz w:val="28"/>
          <w:szCs w:val="28"/>
          <w:lang w:val="fr-FR" w:eastAsia="fr-FR"/>
        </w:rPr>
        <w:t xml:space="preserve"> (1654), dans lequel la bonne kabbale est proposée pour expliquer les mystères d’Égypte, et l’évêque Joseph </w:t>
      </w:r>
      <w:proofErr w:type="spellStart"/>
      <w:r w:rsidRPr="006868F6">
        <w:rPr>
          <w:rFonts w:ascii="Garamond" w:eastAsia="Times New Roman" w:hAnsi="Garamond" w:cs="Segoe UI"/>
          <w:color w:val="3A3A3A"/>
          <w:sz w:val="28"/>
          <w:szCs w:val="28"/>
          <w:lang w:val="fr-FR" w:eastAsia="fr-FR"/>
        </w:rPr>
        <w:t>Ciantes</w:t>
      </w:r>
      <w:proofErr w:type="spellEnd"/>
      <w:r w:rsidRPr="006868F6">
        <w:rPr>
          <w:rFonts w:ascii="Garamond" w:eastAsia="Times New Roman" w:hAnsi="Garamond" w:cs="Segoe UI"/>
          <w:color w:val="3A3A3A"/>
          <w:sz w:val="28"/>
          <w:szCs w:val="28"/>
          <w:lang w:val="fr-FR" w:eastAsia="fr-FR"/>
        </w:rPr>
        <w:t xml:space="preserve">, qui a traduit saint Thomas en hébreu, prouve par la kabbale les mystères de la Trinité et de l’Incarnation, tout comme beaucoup d’autres convertis qui collaborent avec G. </w:t>
      </w:r>
      <w:proofErr w:type="spellStart"/>
      <w:r w:rsidRPr="006868F6">
        <w:rPr>
          <w:rFonts w:ascii="Garamond" w:eastAsia="Times New Roman" w:hAnsi="Garamond" w:cs="Segoe UI"/>
          <w:color w:val="3A3A3A"/>
          <w:sz w:val="28"/>
          <w:szCs w:val="28"/>
          <w:lang w:val="fr-FR" w:eastAsia="fr-FR"/>
        </w:rPr>
        <w:t>Bartolocci</w:t>
      </w:r>
      <w:proofErr w:type="spellEnd"/>
      <w:r w:rsidRPr="006868F6">
        <w:rPr>
          <w:rFonts w:ascii="Garamond" w:eastAsia="Times New Roman" w:hAnsi="Garamond" w:cs="Segoe UI"/>
          <w:color w:val="3A3A3A"/>
          <w:sz w:val="28"/>
          <w:szCs w:val="28"/>
          <w:lang w:val="fr-FR" w:eastAsia="fr-FR"/>
        </w:rPr>
        <w:t xml:space="preserve"> (1613-1687) à la </w:t>
      </w:r>
      <w:proofErr w:type="spellStart"/>
      <w:r w:rsidRPr="006868F6">
        <w:rPr>
          <w:rFonts w:ascii="Garamond" w:eastAsia="Times New Roman" w:hAnsi="Garamond" w:cs="Segoe UI"/>
          <w:color w:val="3A3A3A"/>
          <w:sz w:val="28"/>
          <w:szCs w:val="28"/>
          <w:lang w:val="fr-FR" w:eastAsia="fr-FR"/>
        </w:rPr>
        <w:t>Bibliotheca</w:t>
      </w:r>
      <w:proofErr w:type="spellEnd"/>
      <w:r w:rsidRPr="006868F6">
        <w:rPr>
          <w:rFonts w:ascii="Garamond" w:eastAsia="Times New Roman" w:hAnsi="Garamond" w:cs="Segoe UI"/>
          <w:color w:val="3A3A3A"/>
          <w:sz w:val="28"/>
          <w:szCs w:val="28"/>
          <w:lang w:val="fr-FR" w:eastAsia="fr-FR"/>
        </w:rPr>
        <w:t xml:space="preserve"> magna </w:t>
      </w:r>
      <w:proofErr w:type="spellStart"/>
      <w:r w:rsidRPr="006868F6">
        <w:rPr>
          <w:rFonts w:ascii="Garamond" w:eastAsia="Times New Roman" w:hAnsi="Garamond" w:cs="Segoe UI"/>
          <w:color w:val="3A3A3A"/>
          <w:sz w:val="28"/>
          <w:szCs w:val="28"/>
          <w:lang w:val="fr-FR" w:eastAsia="fr-FR"/>
        </w:rPr>
        <w:t>rabbinica</w:t>
      </w:r>
      <w:proofErr w:type="spellEnd"/>
      <w:r w:rsidRPr="006868F6">
        <w:rPr>
          <w:rFonts w:ascii="Garamond" w:eastAsia="Times New Roman" w:hAnsi="Garamond" w:cs="Segoe UI"/>
          <w:color w:val="3A3A3A"/>
          <w:sz w:val="28"/>
          <w:szCs w:val="28"/>
          <w:lang w:val="fr-FR" w:eastAsia="fr-FR"/>
        </w:rPr>
        <w:t xml:space="preserve"> (1675-1693).</w:t>
      </w:r>
    </w:p>
    <w:p w:rsidR="006868F6" w:rsidRPr="006868F6" w:rsidRDefault="006868F6" w:rsidP="00005877">
      <w:pPr>
        <w:spacing w:after="360" w:line="240" w:lineRule="auto"/>
        <w:jc w:val="both"/>
        <w:rPr>
          <w:rFonts w:ascii="Garamond" w:eastAsia="Times New Roman" w:hAnsi="Garamond" w:cs="Segoe UI"/>
          <w:color w:val="3A3A3A"/>
          <w:sz w:val="28"/>
          <w:szCs w:val="28"/>
          <w:lang w:val="fr-FR" w:eastAsia="fr-FR"/>
        </w:rPr>
      </w:pPr>
      <w:r w:rsidRPr="006868F6">
        <w:rPr>
          <w:rFonts w:ascii="Garamond" w:eastAsia="Times New Roman" w:hAnsi="Garamond" w:cs="Segoe UI"/>
          <w:color w:val="3A3A3A"/>
          <w:sz w:val="28"/>
          <w:szCs w:val="28"/>
          <w:lang w:val="fr-FR" w:eastAsia="fr-FR"/>
        </w:rPr>
        <w:t xml:space="preserve">En France, dès 1519, François Ier se fait exposer la kabbale par un franciscain, Jean </w:t>
      </w:r>
      <w:proofErr w:type="spellStart"/>
      <w:r w:rsidRPr="006868F6">
        <w:rPr>
          <w:rFonts w:ascii="Garamond" w:eastAsia="Times New Roman" w:hAnsi="Garamond" w:cs="Segoe UI"/>
          <w:color w:val="3A3A3A"/>
          <w:sz w:val="28"/>
          <w:szCs w:val="28"/>
          <w:lang w:val="fr-FR" w:eastAsia="fr-FR"/>
        </w:rPr>
        <w:t>Thénaud</w:t>
      </w:r>
      <w:proofErr w:type="spellEnd"/>
      <w:r w:rsidRPr="006868F6">
        <w:rPr>
          <w:rFonts w:ascii="Garamond" w:eastAsia="Times New Roman" w:hAnsi="Garamond" w:cs="Segoe UI"/>
          <w:color w:val="3A3A3A"/>
          <w:sz w:val="28"/>
          <w:szCs w:val="28"/>
          <w:lang w:val="fr-FR" w:eastAsia="fr-FR"/>
        </w:rPr>
        <w:t xml:space="preserve">, et c’est avec raison que Michelet a rangé Guillaume Postel (1510-1581) à côté de l’Italien Pic de La Mirandole et de l’Allemand Reuchlin. S’il ne publia que la traduction du Sefer </w:t>
      </w:r>
      <w:proofErr w:type="spellStart"/>
      <w:r w:rsidRPr="006868F6">
        <w:rPr>
          <w:rFonts w:ascii="Garamond" w:eastAsia="Times New Roman" w:hAnsi="Garamond" w:cs="Segoe UI"/>
          <w:color w:val="3A3A3A"/>
          <w:sz w:val="28"/>
          <w:szCs w:val="28"/>
          <w:lang w:val="fr-FR" w:eastAsia="fr-FR"/>
        </w:rPr>
        <w:t>Yesira</w:t>
      </w:r>
      <w:proofErr w:type="spellEnd"/>
      <w:r w:rsidRPr="006868F6">
        <w:rPr>
          <w:rFonts w:ascii="Garamond" w:eastAsia="Times New Roman" w:hAnsi="Garamond" w:cs="Segoe UI"/>
          <w:color w:val="3A3A3A"/>
          <w:sz w:val="28"/>
          <w:szCs w:val="28"/>
          <w:lang w:val="fr-FR" w:eastAsia="fr-FR"/>
        </w:rPr>
        <w:t xml:space="preserve"> («Le Livre de la création», 1553), Postel avait, dès 1548, traduit à Venise le Zohar sur la Genèse, le </w:t>
      </w:r>
      <w:proofErr w:type="spellStart"/>
      <w:r w:rsidRPr="006868F6">
        <w:rPr>
          <w:rFonts w:ascii="Garamond" w:eastAsia="Times New Roman" w:hAnsi="Garamond" w:cs="Segoe UI"/>
          <w:color w:val="3A3A3A"/>
          <w:sz w:val="28"/>
          <w:szCs w:val="28"/>
          <w:lang w:val="fr-FR" w:eastAsia="fr-FR"/>
        </w:rPr>
        <w:t>Bahir</w:t>
      </w:r>
      <w:proofErr w:type="spellEnd"/>
      <w:r w:rsidRPr="006868F6">
        <w:rPr>
          <w:rFonts w:ascii="Garamond" w:eastAsia="Times New Roman" w:hAnsi="Garamond" w:cs="Segoe UI"/>
          <w:color w:val="3A3A3A"/>
          <w:sz w:val="28"/>
          <w:szCs w:val="28"/>
          <w:lang w:val="fr-FR" w:eastAsia="fr-FR"/>
        </w:rPr>
        <w:t xml:space="preserve">, le Commentaire de Menahem de </w:t>
      </w:r>
      <w:proofErr w:type="spellStart"/>
      <w:r w:rsidRPr="006868F6">
        <w:rPr>
          <w:rFonts w:ascii="Garamond" w:eastAsia="Times New Roman" w:hAnsi="Garamond" w:cs="Segoe UI"/>
          <w:color w:val="3A3A3A"/>
          <w:sz w:val="28"/>
          <w:szCs w:val="28"/>
          <w:lang w:val="fr-FR" w:eastAsia="fr-FR"/>
        </w:rPr>
        <w:t>Recanati</w:t>
      </w:r>
      <w:proofErr w:type="spellEnd"/>
      <w:r w:rsidRPr="006868F6">
        <w:rPr>
          <w:rFonts w:ascii="Garamond" w:eastAsia="Times New Roman" w:hAnsi="Garamond" w:cs="Segoe UI"/>
          <w:color w:val="3A3A3A"/>
          <w:sz w:val="28"/>
          <w:szCs w:val="28"/>
          <w:lang w:val="fr-FR" w:eastAsia="fr-FR"/>
        </w:rPr>
        <w:t xml:space="preserve">. Son illuminisme, dans lequel les thèmes de l’âme du Messie et du </w:t>
      </w:r>
      <w:proofErr w:type="spellStart"/>
      <w:r w:rsidRPr="006868F6">
        <w:rPr>
          <w:rFonts w:ascii="Garamond" w:eastAsia="Times New Roman" w:hAnsi="Garamond" w:cs="Segoe UI"/>
          <w:color w:val="3A3A3A"/>
          <w:sz w:val="28"/>
          <w:szCs w:val="28"/>
          <w:lang w:val="fr-FR" w:eastAsia="fr-FR"/>
        </w:rPr>
        <w:t>Gilgul</w:t>
      </w:r>
      <w:proofErr w:type="spellEnd"/>
      <w:r w:rsidRPr="006868F6">
        <w:rPr>
          <w:rFonts w:ascii="Garamond" w:eastAsia="Times New Roman" w:hAnsi="Garamond" w:cs="Segoe UI"/>
          <w:color w:val="3A3A3A"/>
          <w:sz w:val="28"/>
          <w:szCs w:val="28"/>
          <w:lang w:val="fr-FR" w:eastAsia="fr-FR"/>
        </w:rPr>
        <w:t xml:space="preserve"> (ou révolution des âmes) dominent, le fit censurer tant en Italie et en France que dans le refuge de Bâle, mais cela ne l’empêcha pas d’avoir quelque influence sur Guy Le </w:t>
      </w:r>
      <w:proofErr w:type="spellStart"/>
      <w:r w:rsidRPr="006868F6">
        <w:rPr>
          <w:rFonts w:ascii="Garamond" w:eastAsia="Times New Roman" w:hAnsi="Garamond" w:cs="Segoe UI"/>
          <w:color w:val="3A3A3A"/>
          <w:sz w:val="28"/>
          <w:szCs w:val="28"/>
          <w:lang w:val="fr-FR" w:eastAsia="fr-FR"/>
        </w:rPr>
        <w:t>Fèvre</w:t>
      </w:r>
      <w:proofErr w:type="spellEnd"/>
      <w:r w:rsidRPr="006868F6">
        <w:rPr>
          <w:rFonts w:ascii="Garamond" w:eastAsia="Times New Roman" w:hAnsi="Garamond" w:cs="Segoe UI"/>
          <w:color w:val="3A3A3A"/>
          <w:sz w:val="28"/>
          <w:szCs w:val="28"/>
          <w:lang w:val="fr-FR" w:eastAsia="fr-FR"/>
        </w:rPr>
        <w:t xml:space="preserve"> de La </w:t>
      </w:r>
      <w:proofErr w:type="spellStart"/>
      <w:r w:rsidRPr="006868F6">
        <w:rPr>
          <w:rFonts w:ascii="Garamond" w:eastAsia="Times New Roman" w:hAnsi="Garamond" w:cs="Segoe UI"/>
          <w:color w:val="3A3A3A"/>
          <w:sz w:val="28"/>
          <w:szCs w:val="28"/>
          <w:lang w:val="fr-FR" w:eastAsia="fr-FR"/>
        </w:rPr>
        <w:t>Boderie</w:t>
      </w:r>
      <w:proofErr w:type="spellEnd"/>
      <w:r w:rsidRPr="006868F6">
        <w:rPr>
          <w:rFonts w:ascii="Garamond" w:eastAsia="Times New Roman" w:hAnsi="Garamond" w:cs="Segoe UI"/>
          <w:color w:val="3A3A3A"/>
          <w:sz w:val="28"/>
          <w:szCs w:val="28"/>
          <w:lang w:val="fr-FR" w:eastAsia="fr-FR"/>
        </w:rPr>
        <w:t xml:space="preserve">, qui traduisit le De harmonia </w:t>
      </w:r>
      <w:proofErr w:type="spellStart"/>
      <w:r w:rsidRPr="006868F6">
        <w:rPr>
          <w:rFonts w:ascii="Garamond" w:eastAsia="Times New Roman" w:hAnsi="Garamond" w:cs="Segoe UI"/>
          <w:color w:val="3A3A3A"/>
          <w:sz w:val="28"/>
          <w:szCs w:val="28"/>
          <w:lang w:val="fr-FR" w:eastAsia="fr-FR"/>
        </w:rPr>
        <w:t>mundi</w:t>
      </w:r>
      <w:proofErr w:type="spellEnd"/>
      <w:r w:rsidRPr="006868F6">
        <w:rPr>
          <w:rFonts w:ascii="Garamond" w:eastAsia="Times New Roman" w:hAnsi="Garamond" w:cs="Segoe UI"/>
          <w:color w:val="3A3A3A"/>
          <w:sz w:val="28"/>
          <w:szCs w:val="28"/>
          <w:lang w:val="fr-FR" w:eastAsia="fr-FR"/>
        </w:rPr>
        <w:t xml:space="preserve"> et chanta parfois fort poétiquement les grands thèmes de la kabbale, et sur un écrivain qui fut comparé en son temps à Amyot, Blaise de Vigenère (1523-1596). Celui-ci, astrologue et alchimiste, publia le </w:t>
      </w:r>
      <w:proofErr w:type="spellStart"/>
      <w:r w:rsidRPr="006868F6">
        <w:rPr>
          <w:rFonts w:ascii="Garamond" w:eastAsia="Times New Roman" w:hAnsi="Garamond" w:cs="Segoe UI"/>
          <w:color w:val="3A3A3A"/>
          <w:sz w:val="28"/>
          <w:szCs w:val="28"/>
          <w:lang w:val="fr-FR" w:eastAsia="fr-FR"/>
        </w:rPr>
        <w:t>Traicté</w:t>
      </w:r>
      <w:proofErr w:type="spellEnd"/>
      <w:r w:rsidRPr="006868F6">
        <w:rPr>
          <w:rFonts w:ascii="Garamond" w:eastAsia="Times New Roman" w:hAnsi="Garamond" w:cs="Segoe UI"/>
          <w:color w:val="3A3A3A"/>
          <w:sz w:val="28"/>
          <w:szCs w:val="28"/>
          <w:lang w:val="fr-FR" w:eastAsia="fr-FR"/>
        </w:rPr>
        <w:t xml:space="preserve"> des chiffres et le </w:t>
      </w:r>
      <w:proofErr w:type="spellStart"/>
      <w:r w:rsidRPr="006868F6">
        <w:rPr>
          <w:rFonts w:ascii="Garamond" w:eastAsia="Times New Roman" w:hAnsi="Garamond" w:cs="Segoe UI"/>
          <w:color w:val="3A3A3A"/>
          <w:sz w:val="28"/>
          <w:szCs w:val="28"/>
          <w:lang w:val="fr-FR" w:eastAsia="fr-FR"/>
        </w:rPr>
        <w:lastRenderedPageBreak/>
        <w:t>Traicté</w:t>
      </w:r>
      <w:proofErr w:type="spellEnd"/>
      <w:r w:rsidRPr="006868F6">
        <w:rPr>
          <w:rFonts w:ascii="Garamond" w:eastAsia="Times New Roman" w:hAnsi="Garamond" w:cs="Segoe UI"/>
          <w:color w:val="3A3A3A"/>
          <w:sz w:val="28"/>
          <w:szCs w:val="28"/>
          <w:lang w:val="fr-FR" w:eastAsia="fr-FR"/>
        </w:rPr>
        <w:t xml:space="preserve"> des prières et oraisons, qui est une petite anthologie de textes kabbalistiques que pilla Claude Duret, son cousin, pour faire de son </w:t>
      </w:r>
      <w:proofErr w:type="spellStart"/>
      <w:r w:rsidRPr="006868F6">
        <w:rPr>
          <w:rFonts w:ascii="Garamond" w:eastAsia="Times New Roman" w:hAnsi="Garamond" w:cs="Segoe UI"/>
          <w:color w:val="3A3A3A"/>
          <w:sz w:val="28"/>
          <w:szCs w:val="28"/>
          <w:lang w:val="fr-FR" w:eastAsia="fr-FR"/>
        </w:rPr>
        <w:t>Thresor</w:t>
      </w:r>
      <w:proofErr w:type="spellEnd"/>
      <w:r w:rsidRPr="006868F6">
        <w:rPr>
          <w:rFonts w:ascii="Garamond" w:eastAsia="Times New Roman" w:hAnsi="Garamond" w:cs="Segoe UI"/>
          <w:color w:val="3A3A3A"/>
          <w:sz w:val="28"/>
          <w:szCs w:val="28"/>
          <w:lang w:val="fr-FR" w:eastAsia="fr-FR"/>
        </w:rPr>
        <w:t xml:space="preserve"> des langues de cet univers (1613) comme une première «</w:t>
      </w:r>
      <w:proofErr w:type="spellStart"/>
      <w:r w:rsidRPr="006868F6">
        <w:rPr>
          <w:rFonts w:ascii="Garamond" w:eastAsia="Times New Roman" w:hAnsi="Garamond" w:cs="Segoe UI"/>
          <w:color w:val="3A3A3A"/>
          <w:sz w:val="28"/>
          <w:szCs w:val="28"/>
          <w:lang w:val="fr-FR" w:eastAsia="fr-FR"/>
        </w:rPr>
        <w:t>Bibliotheca</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cabalistica</w:t>
      </w:r>
      <w:proofErr w:type="spellEnd"/>
      <w:r w:rsidRPr="006868F6">
        <w:rPr>
          <w:rFonts w:ascii="Garamond" w:eastAsia="Times New Roman" w:hAnsi="Garamond" w:cs="Segoe UI"/>
          <w:color w:val="3A3A3A"/>
          <w:sz w:val="28"/>
          <w:szCs w:val="28"/>
          <w:lang w:val="fr-FR" w:eastAsia="fr-FR"/>
        </w:rPr>
        <w:t>».</w:t>
      </w:r>
    </w:p>
    <w:p w:rsidR="006868F6" w:rsidRPr="006868F6" w:rsidRDefault="006868F6" w:rsidP="00005877">
      <w:pPr>
        <w:spacing w:after="360" w:line="240" w:lineRule="auto"/>
        <w:jc w:val="both"/>
        <w:rPr>
          <w:rFonts w:ascii="Garamond" w:eastAsia="Times New Roman" w:hAnsi="Garamond" w:cs="Segoe UI"/>
          <w:color w:val="3A3A3A"/>
          <w:sz w:val="28"/>
          <w:szCs w:val="28"/>
          <w:lang w:val="fr-FR" w:eastAsia="fr-FR"/>
        </w:rPr>
      </w:pPr>
      <w:r w:rsidRPr="006868F6">
        <w:rPr>
          <w:rFonts w:ascii="Garamond" w:eastAsia="Times New Roman" w:hAnsi="Garamond" w:cs="Segoe UI"/>
          <w:color w:val="3A3A3A"/>
          <w:sz w:val="28"/>
          <w:szCs w:val="28"/>
          <w:lang w:val="fr-FR" w:eastAsia="fr-FR"/>
        </w:rPr>
        <w:t xml:space="preserve">Tandis qu’au début du XVIIe siècle, la kabbale suscite la vive critique de Marin Mersenne dans ses </w:t>
      </w:r>
      <w:proofErr w:type="spellStart"/>
      <w:r w:rsidRPr="006868F6">
        <w:rPr>
          <w:rFonts w:ascii="Garamond" w:eastAsia="Times New Roman" w:hAnsi="Garamond" w:cs="Segoe UI"/>
          <w:color w:val="3A3A3A"/>
          <w:sz w:val="28"/>
          <w:szCs w:val="28"/>
          <w:lang w:val="fr-FR" w:eastAsia="fr-FR"/>
        </w:rPr>
        <w:t>Quaestiones</w:t>
      </w:r>
      <w:proofErr w:type="spellEnd"/>
      <w:r w:rsidRPr="006868F6">
        <w:rPr>
          <w:rFonts w:ascii="Garamond" w:eastAsia="Times New Roman" w:hAnsi="Garamond" w:cs="Segoe UI"/>
          <w:color w:val="3A3A3A"/>
          <w:sz w:val="28"/>
          <w:szCs w:val="28"/>
          <w:lang w:val="fr-FR" w:eastAsia="fr-FR"/>
        </w:rPr>
        <w:t xml:space="preserve"> in </w:t>
      </w:r>
      <w:proofErr w:type="spellStart"/>
      <w:r w:rsidRPr="006868F6">
        <w:rPr>
          <w:rFonts w:ascii="Garamond" w:eastAsia="Times New Roman" w:hAnsi="Garamond" w:cs="Segoe UI"/>
          <w:color w:val="3A3A3A"/>
          <w:sz w:val="28"/>
          <w:szCs w:val="28"/>
          <w:lang w:val="fr-FR" w:eastAsia="fr-FR"/>
        </w:rPr>
        <w:t>Genesim</w:t>
      </w:r>
      <w:proofErr w:type="spellEnd"/>
      <w:r w:rsidRPr="006868F6">
        <w:rPr>
          <w:rFonts w:ascii="Garamond" w:eastAsia="Times New Roman" w:hAnsi="Garamond" w:cs="Segoe UI"/>
          <w:color w:val="3A3A3A"/>
          <w:sz w:val="28"/>
          <w:szCs w:val="28"/>
          <w:lang w:val="fr-FR" w:eastAsia="fr-FR"/>
        </w:rPr>
        <w:t xml:space="preserve"> (1623), un des maîtres de ce dernier, le jésuite Jean </w:t>
      </w:r>
      <w:proofErr w:type="spellStart"/>
      <w:r w:rsidRPr="006868F6">
        <w:rPr>
          <w:rFonts w:ascii="Garamond" w:eastAsia="Times New Roman" w:hAnsi="Garamond" w:cs="Segoe UI"/>
          <w:color w:val="3A3A3A"/>
          <w:sz w:val="28"/>
          <w:szCs w:val="28"/>
          <w:lang w:val="fr-FR" w:eastAsia="fr-FR"/>
        </w:rPr>
        <w:t>Phelippeaux</w:t>
      </w:r>
      <w:proofErr w:type="spellEnd"/>
      <w:r w:rsidRPr="006868F6">
        <w:rPr>
          <w:rFonts w:ascii="Garamond" w:eastAsia="Times New Roman" w:hAnsi="Garamond" w:cs="Segoe UI"/>
          <w:color w:val="3A3A3A"/>
          <w:sz w:val="28"/>
          <w:szCs w:val="28"/>
          <w:lang w:val="fr-FR" w:eastAsia="fr-FR"/>
        </w:rPr>
        <w:t xml:space="preserve"> (1577-1645) en était un connaisseur érudit qui, dans un commentaire sur Osée, avait multiplié les citations du Zohar ; Jacques </w:t>
      </w:r>
      <w:proofErr w:type="spellStart"/>
      <w:r w:rsidRPr="006868F6">
        <w:rPr>
          <w:rFonts w:ascii="Garamond" w:eastAsia="Times New Roman" w:hAnsi="Garamond" w:cs="Segoe UI"/>
          <w:color w:val="3A3A3A"/>
          <w:sz w:val="28"/>
          <w:szCs w:val="28"/>
          <w:lang w:val="fr-FR" w:eastAsia="fr-FR"/>
        </w:rPr>
        <w:t>Gaffarel</w:t>
      </w:r>
      <w:proofErr w:type="spellEnd"/>
      <w:r w:rsidRPr="006868F6">
        <w:rPr>
          <w:rFonts w:ascii="Garamond" w:eastAsia="Times New Roman" w:hAnsi="Garamond" w:cs="Segoe UI"/>
          <w:color w:val="3A3A3A"/>
          <w:sz w:val="28"/>
          <w:szCs w:val="28"/>
          <w:lang w:val="fr-FR" w:eastAsia="fr-FR"/>
        </w:rPr>
        <w:t xml:space="preserve"> oppose à Mersenne son </w:t>
      </w:r>
      <w:proofErr w:type="spellStart"/>
      <w:r w:rsidRPr="006868F6">
        <w:rPr>
          <w:rFonts w:ascii="Garamond" w:eastAsia="Times New Roman" w:hAnsi="Garamond" w:cs="Segoe UI"/>
          <w:color w:val="3A3A3A"/>
          <w:sz w:val="28"/>
          <w:szCs w:val="28"/>
          <w:lang w:val="fr-FR" w:eastAsia="fr-FR"/>
        </w:rPr>
        <w:t>Abdita</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divinae</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cabalae</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mysteria</w:t>
      </w:r>
      <w:proofErr w:type="spellEnd"/>
      <w:r w:rsidRPr="006868F6">
        <w:rPr>
          <w:rFonts w:ascii="Garamond" w:eastAsia="Times New Roman" w:hAnsi="Garamond" w:cs="Segoe UI"/>
          <w:color w:val="3A3A3A"/>
          <w:sz w:val="28"/>
          <w:szCs w:val="28"/>
          <w:lang w:val="fr-FR" w:eastAsia="fr-FR"/>
        </w:rPr>
        <w:t xml:space="preserve"> (1625). Le converti Philippe d’Aquin, qui collabore à la Polyglotte de Paris, publie en 1625 son Interprétation de l’arbre de la Cabale, et Gilbert </w:t>
      </w:r>
      <w:proofErr w:type="spellStart"/>
      <w:r w:rsidRPr="006868F6">
        <w:rPr>
          <w:rFonts w:ascii="Garamond" w:eastAsia="Times New Roman" w:hAnsi="Garamond" w:cs="Segoe UI"/>
          <w:color w:val="3A3A3A"/>
          <w:sz w:val="28"/>
          <w:szCs w:val="28"/>
          <w:lang w:val="fr-FR" w:eastAsia="fr-FR"/>
        </w:rPr>
        <w:t>Gaulmin</w:t>
      </w:r>
      <w:proofErr w:type="spellEnd"/>
      <w:r w:rsidRPr="006868F6">
        <w:rPr>
          <w:rFonts w:ascii="Garamond" w:eastAsia="Times New Roman" w:hAnsi="Garamond" w:cs="Segoe UI"/>
          <w:color w:val="3A3A3A"/>
          <w:sz w:val="28"/>
          <w:szCs w:val="28"/>
          <w:lang w:val="fr-FR" w:eastAsia="fr-FR"/>
        </w:rPr>
        <w:t xml:space="preserve"> (1585-1665), qui écrit des «</w:t>
      </w:r>
      <w:proofErr w:type="spellStart"/>
      <w:r w:rsidRPr="006868F6">
        <w:rPr>
          <w:rFonts w:ascii="Garamond" w:eastAsia="Times New Roman" w:hAnsi="Garamond" w:cs="Segoe UI"/>
          <w:color w:val="3A3A3A"/>
          <w:sz w:val="28"/>
          <w:szCs w:val="28"/>
          <w:lang w:val="fr-FR" w:eastAsia="fr-FR"/>
        </w:rPr>
        <w:t>Conclusiones</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cabalisticae</w:t>
      </w:r>
      <w:proofErr w:type="spellEnd"/>
      <w:r w:rsidRPr="006868F6">
        <w:rPr>
          <w:rFonts w:ascii="Garamond" w:eastAsia="Times New Roman" w:hAnsi="Garamond" w:cs="Segoe UI"/>
          <w:color w:val="3A3A3A"/>
          <w:sz w:val="28"/>
          <w:szCs w:val="28"/>
          <w:lang w:val="fr-FR" w:eastAsia="fr-FR"/>
        </w:rPr>
        <w:t xml:space="preserve">» en marge de ses livres, prête sa riche bibliothèque à Joseph de Voisin (1610-1685), l’éditeur du </w:t>
      </w:r>
      <w:proofErr w:type="spellStart"/>
      <w:r w:rsidRPr="006868F6">
        <w:rPr>
          <w:rFonts w:ascii="Garamond" w:eastAsia="Times New Roman" w:hAnsi="Garamond" w:cs="Segoe UI"/>
          <w:color w:val="3A3A3A"/>
          <w:sz w:val="28"/>
          <w:szCs w:val="28"/>
          <w:lang w:val="fr-FR" w:eastAsia="fr-FR"/>
        </w:rPr>
        <w:t>Pugio</w:t>
      </w:r>
      <w:proofErr w:type="spellEnd"/>
      <w:r w:rsidRPr="006868F6">
        <w:rPr>
          <w:rFonts w:ascii="Garamond" w:eastAsia="Times New Roman" w:hAnsi="Garamond" w:cs="Segoe UI"/>
          <w:color w:val="3A3A3A"/>
          <w:sz w:val="28"/>
          <w:szCs w:val="28"/>
          <w:lang w:val="fr-FR" w:eastAsia="fr-FR"/>
        </w:rPr>
        <w:t xml:space="preserve"> </w:t>
      </w:r>
      <w:proofErr w:type="spellStart"/>
      <w:proofErr w:type="gramStart"/>
      <w:r w:rsidRPr="006868F6">
        <w:rPr>
          <w:rFonts w:ascii="Garamond" w:eastAsia="Times New Roman" w:hAnsi="Garamond" w:cs="Segoe UI"/>
          <w:color w:val="3A3A3A"/>
          <w:sz w:val="28"/>
          <w:szCs w:val="28"/>
          <w:lang w:val="fr-FR" w:eastAsia="fr-FR"/>
        </w:rPr>
        <w:t>fidei</w:t>
      </w:r>
      <w:proofErr w:type="spellEnd"/>
      <w:r w:rsidRPr="006868F6">
        <w:rPr>
          <w:rFonts w:ascii="Garamond" w:eastAsia="Times New Roman" w:hAnsi="Garamond" w:cs="Segoe UI"/>
          <w:color w:val="3A3A3A"/>
          <w:sz w:val="28"/>
          <w:szCs w:val="28"/>
          <w:lang w:val="fr-FR" w:eastAsia="fr-FR"/>
        </w:rPr>
        <w:t xml:space="preserve"> ,</w:t>
      </w:r>
      <w:proofErr w:type="gramEnd"/>
      <w:r w:rsidRPr="006868F6">
        <w:rPr>
          <w:rFonts w:ascii="Garamond" w:eastAsia="Times New Roman" w:hAnsi="Garamond" w:cs="Segoe UI"/>
          <w:color w:val="3A3A3A"/>
          <w:sz w:val="28"/>
          <w:szCs w:val="28"/>
          <w:lang w:val="fr-FR" w:eastAsia="fr-FR"/>
        </w:rPr>
        <w:t xml:space="preserve"> lui-même auteur de «</w:t>
      </w:r>
      <w:proofErr w:type="spellStart"/>
      <w:r w:rsidRPr="006868F6">
        <w:rPr>
          <w:rFonts w:ascii="Garamond" w:eastAsia="Times New Roman" w:hAnsi="Garamond" w:cs="Segoe UI"/>
          <w:color w:val="3A3A3A"/>
          <w:sz w:val="28"/>
          <w:szCs w:val="28"/>
          <w:lang w:val="fr-FR" w:eastAsia="fr-FR"/>
        </w:rPr>
        <w:t>Conclusiones</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cabalisticae</w:t>
      </w:r>
      <w:proofErr w:type="spellEnd"/>
      <w:r w:rsidRPr="006868F6">
        <w:rPr>
          <w:rFonts w:ascii="Garamond" w:eastAsia="Times New Roman" w:hAnsi="Garamond" w:cs="Segoe UI"/>
          <w:color w:val="3A3A3A"/>
          <w:sz w:val="28"/>
          <w:szCs w:val="28"/>
          <w:lang w:val="fr-FR" w:eastAsia="fr-FR"/>
        </w:rPr>
        <w:t xml:space="preserve">» (1635). La kabbale discutée par Jean Morin est au cœur de la querelle sur les points-voyelles qui oppose Louis </w:t>
      </w:r>
      <w:proofErr w:type="spellStart"/>
      <w:r w:rsidRPr="006868F6">
        <w:rPr>
          <w:rFonts w:ascii="Garamond" w:eastAsia="Times New Roman" w:hAnsi="Garamond" w:cs="Segoe UI"/>
          <w:color w:val="3A3A3A"/>
          <w:sz w:val="28"/>
          <w:szCs w:val="28"/>
          <w:lang w:val="fr-FR" w:eastAsia="fr-FR"/>
        </w:rPr>
        <w:t>Cappel</w:t>
      </w:r>
      <w:proofErr w:type="spellEnd"/>
      <w:r w:rsidRPr="006868F6">
        <w:rPr>
          <w:rFonts w:ascii="Garamond" w:eastAsia="Times New Roman" w:hAnsi="Garamond" w:cs="Segoe UI"/>
          <w:color w:val="3A3A3A"/>
          <w:sz w:val="28"/>
          <w:szCs w:val="28"/>
          <w:lang w:val="fr-FR" w:eastAsia="fr-FR"/>
        </w:rPr>
        <w:t xml:space="preserve"> et les </w:t>
      </w:r>
      <w:proofErr w:type="spellStart"/>
      <w:r w:rsidRPr="006868F6">
        <w:rPr>
          <w:rFonts w:ascii="Garamond" w:eastAsia="Times New Roman" w:hAnsi="Garamond" w:cs="Segoe UI"/>
          <w:color w:val="3A3A3A"/>
          <w:sz w:val="28"/>
          <w:szCs w:val="28"/>
          <w:lang w:val="fr-FR" w:eastAsia="fr-FR"/>
        </w:rPr>
        <w:t>Buxtorf</w:t>
      </w:r>
      <w:proofErr w:type="spellEnd"/>
      <w:r w:rsidRPr="006868F6">
        <w:rPr>
          <w:rFonts w:ascii="Garamond" w:eastAsia="Times New Roman" w:hAnsi="Garamond" w:cs="Segoe UI"/>
          <w:color w:val="3A3A3A"/>
          <w:sz w:val="28"/>
          <w:szCs w:val="28"/>
          <w:lang w:val="fr-FR" w:eastAsia="fr-FR"/>
        </w:rPr>
        <w:t xml:space="preserve">. Jacob </w:t>
      </w:r>
      <w:proofErr w:type="spellStart"/>
      <w:r w:rsidRPr="006868F6">
        <w:rPr>
          <w:rFonts w:ascii="Garamond" w:eastAsia="Times New Roman" w:hAnsi="Garamond" w:cs="Segoe UI"/>
          <w:color w:val="3A3A3A"/>
          <w:sz w:val="28"/>
          <w:szCs w:val="28"/>
          <w:lang w:val="fr-FR" w:eastAsia="fr-FR"/>
        </w:rPr>
        <w:t>Basnage</w:t>
      </w:r>
      <w:proofErr w:type="spellEnd"/>
      <w:r w:rsidRPr="006868F6">
        <w:rPr>
          <w:rFonts w:ascii="Garamond" w:eastAsia="Times New Roman" w:hAnsi="Garamond" w:cs="Segoe UI"/>
          <w:color w:val="3A3A3A"/>
          <w:sz w:val="28"/>
          <w:szCs w:val="28"/>
          <w:lang w:val="fr-FR" w:eastAsia="fr-FR"/>
        </w:rPr>
        <w:t>, dans son Histoire des Juifs (1702), prétend ramener la kabbale à sa source égyptienne. Et, au XVIIIe siècle encore, on la retrouve dans le Traité de la réintégration des êtres.</w:t>
      </w:r>
    </w:p>
    <w:p w:rsidR="006868F6" w:rsidRPr="006868F6" w:rsidRDefault="006868F6" w:rsidP="00005877">
      <w:pPr>
        <w:spacing w:after="360" w:line="240" w:lineRule="auto"/>
        <w:jc w:val="both"/>
        <w:rPr>
          <w:rFonts w:ascii="Garamond" w:eastAsia="Times New Roman" w:hAnsi="Garamond" w:cs="Segoe UI"/>
          <w:color w:val="3A3A3A"/>
          <w:sz w:val="28"/>
          <w:szCs w:val="28"/>
          <w:lang w:val="fr-FR" w:eastAsia="fr-FR"/>
        </w:rPr>
      </w:pPr>
      <w:r w:rsidRPr="006868F6">
        <w:rPr>
          <w:rFonts w:ascii="Garamond" w:eastAsia="Times New Roman" w:hAnsi="Garamond" w:cs="Segoe UI"/>
          <w:color w:val="3A3A3A"/>
          <w:sz w:val="28"/>
          <w:szCs w:val="28"/>
          <w:lang w:val="fr-FR" w:eastAsia="fr-FR"/>
        </w:rPr>
        <w:t xml:space="preserve">Entre-temps, la kabbale a intéressé l’Angleterre, les Pays-Bas, l’Allemagne et les pays du Nord. En Angleterre, John Dee (1527-1608) a publié sa </w:t>
      </w:r>
      <w:proofErr w:type="spellStart"/>
      <w:r w:rsidRPr="006868F6">
        <w:rPr>
          <w:rFonts w:ascii="Garamond" w:eastAsia="Times New Roman" w:hAnsi="Garamond" w:cs="Segoe UI"/>
          <w:color w:val="3A3A3A"/>
          <w:sz w:val="28"/>
          <w:szCs w:val="28"/>
          <w:lang w:val="fr-FR" w:eastAsia="fr-FR"/>
        </w:rPr>
        <w:t>Monas</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hieroglyphica</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mathematice</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magice</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cabalistice</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anagogiceque</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explicata</w:t>
      </w:r>
      <w:proofErr w:type="spellEnd"/>
      <w:r w:rsidRPr="006868F6">
        <w:rPr>
          <w:rFonts w:ascii="Garamond" w:eastAsia="Times New Roman" w:hAnsi="Garamond" w:cs="Segoe UI"/>
          <w:color w:val="3A3A3A"/>
          <w:sz w:val="28"/>
          <w:szCs w:val="28"/>
          <w:lang w:val="fr-FR" w:eastAsia="fr-FR"/>
        </w:rPr>
        <w:t xml:space="preserve"> en </w:t>
      </w:r>
      <w:r w:rsidRPr="006868F6">
        <w:rPr>
          <w:rFonts w:ascii="Garamond" w:eastAsia="Times New Roman" w:hAnsi="Garamond" w:cs="Segoe UI"/>
          <w:color w:val="3A3A3A"/>
          <w:sz w:val="28"/>
          <w:szCs w:val="28"/>
          <w:lang w:val="fr-FR" w:eastAsia="fr-FR"/>
        </w:rPr>
        <w:lastRenderedPageBreak/>
        <w:t xml:space="preserve">1564 et Robert </w:t>
      </w:r>
      <w:proofErr w:type="spellStart"/>
      <w:r w:rsidRPr="006868F6">
        <w:rPr>
          <w:rFonts w:ascii="Garamond" w:eastAsia="Times New Roman" w:hAnsi="Garamond" w:cs="Segoe UI"/>
          <w:color w:val="3A3A3A"/>
          <w:sz w:val="28"/>
          <w:szCs w:val="28"/>
          <w:lang w:val="fr-FR" w:eastAsia="fr-FR"/>
        </w:rPr>
        <w:t>Fludd</w:t>
      </w:r>
      <w:proofErr w:type="spellEnd"/>
      <w:r w:rsidRPr="006868F6">
        <w:rPr>
          <w:rFonts w:ascii="Garamond" w:eastAsia="Times New Roman" w:hAnsi="Garamond" w:cs="Segoe UI"/>
          <w:color w:val="3A3A3A"/>
          <w:sz w:val="28"/>
          <w:szCs w:val="28"/>
          <w:lang w:val="fr-FR" w:eastAsia="fr-FR"/>
        </w:rPr>
        <w:t xml:space="preserve"> (1574-1637) sa </w:t>
      </w:r>
      <w:proofErr w:type="spellStart"/>
      <w:r w:rsidRPr="006868F6">
        <w:rPr>
          <w:rFonts w:ascii="Garamond" w:eastAsia="Times New Roman" w:hAnsi="Garamond" w:cs="Segoe UI"/>
          <w:color w:val="3A3A3A"/>
          <w:sz w:val="28"/>
          <w:szCs w:val="28"/>
          <w:lang w:val="fr-FR" w:eastAsia="fr-FR"/>
        </w:rPr>
        <w:t>Philosophia</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mosayca</w:t>
      </w:r>
      <w:proofErr w:type="spellEnd"/>
      <w:r w:rsidRPr="006868F6">
        <w:rPr>
          <w:rFonts w:ascii="Garamond" w:eastAsia="Times New Roman" w:hAnsi="Garamond" w:cs="Segoe UI"/>
          <w:color w:val="3A3A3A"/>
          <w:sz w:val="28"/>
          <w:szCs w:val="28"/>
          <w:lang w:val="fr-FR" w:eastAsia="fr-FR"/>
        </w:rPr>
        <w:t xml:space="preserve"> en 1638, Henry More (1614-1687) a été en relation avec Christian Knorr </w:t>
      </w:r>
      <w:proofErr w:type="spellStart"/>
      <w:r w:rsidRPr="006868F6">
        <w:rPr>
          <w:rFonts w:ascii="Garamond" w:eastAsia="Times New Roman" w:hAnsi="Garamond" w:cs="Segoe UI"/>
          <w:color w:val="3A3A3A"/>
          <w:sz w:val="28"/>
          <w:szCs w:val="28"/>
          <w:lang w:val="fr-FR" w:eastAsia="fr-FR"/>
        </w:rPr>
        <w:t>von</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Rosenroth</w:t>
      </w:r>
      <w:proofErr w:type="spellEnd"/>
      <w:r w:rsidRPr="006868F6">
        <w:rPr>
          <w:rFonts w:ascii="Garamond" w:eastAsia="Times New Roman" w:hAnsi="Garamond" w:cs="Segoe UI"/>
          <w:color w:val="3A3A3A"/>
          <w:sz w:val="28"/>
          <w:szCs w:val="28"/>
          <w:lang w:val="fr-FR" w:eastAsia="fr-FR"/>
        </w:rPr>
        <w:t xml:space="preserve"> (1636-1689), l’auteur de la </w:t>
      </w:r>
      <w:proofErr w:type="spellStart"/>
      <w:r w:rsidRPr="006868F6">
        <w:rPr>
          <w:rFonts w:ascii="Garamond" w:eastAsia="Times New Roman" w:hAnsi="Garamond" w:cs="Segoe UI"/>
          <w:color w:val="3A3A3A"/>
          <w:sz w:val="28"/>
          <w:szCs w:val="28"/>
          <w:lang w:val="fr-FR" w:eastAsia="fr-FR"/>
        </w:rPr>
        <w:t>Kabbala</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denudata</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seu</w:t>
      </w:r>
      <w:proofErr w:type="spellEnd"/>
      <w:r w:rsidRPr="006868F6">
        <w:rPr>
          <w:rFonts w:ascii="Garamond" w:eastAsia="Times New Roman" w:hAnsi="Garamond" w:cs="Segoe UI"/>
          <w:color w:val="3A3A3A"/>
          <w:sz w:val="28"/>
          <w:szCs w:val="28"/>
          <w:lang w:val="fr-FR" w:eastAsia="fr-FR"/>
        </w:rPr>
        <w:t xml:space="preserve"> doctrina </w:t>
      </w:r>
      <w:proofErr w:type="spellStart"/>
      <w:r w:rsidRPr="006868F6">
        <w:rPr>
          <w:rFonts w:ascii="Garamond" w:eastAsia="Times New Roman" w:hAnsi="Garamond" w:cs="Segoe UI"/>
          <w:color w:val="3A3A3A"/>
          <w:sz w:val="28"/>
          <w:szCs w:val="28"/>
          <w:lang w:val="fr-FR" w:eastAsia="fr-FR"/>
        </w:rPr>
        <w:t>Hebraeorum</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transcendantalis</w:t>
      </w:r>
      <w:proofErr w:type="spellEnd"/>
      <w:r w:rsidRPr="006868F6">
        <w:rPr>
          <w:rFonts w:ascii="Garamond" w:eastAsia="Times New Roman" w:hAnsi="Garamond" w:cs="Segoe UI"/>
          <w:color w:val="3A3A3A"/>
          <w:sz w:val="28"/>
          <w:szCs w:val="28"/>
          <w:lang w:val="fr-FR" w:eastAsia="fr-FR"/>
        </w:rPr>
        <w:t xml:space="preserve"> (1677-1684), par l’intermédiaire de François Mercure van Helmont (1614-1699), qui a écrit notamment l’</w:t>
      </w:r>
      <w:proofErr w:type="spellStart"/>
      <w:r w:rsidRPr="006868F6">
        <w:rPr>
          <w:rFonts w:ascii="Garamond" w:eastAsia="Times New Roman" w:hAnsi="Garamond" w:cs="Segoe UI"/>
          <w:color w:val="3A3A3A"/>
          <w:sz w:val="28"/>
          <w:szCs w:val="28"/>
          <w:lang w:val="fr-FR" w:eastAsia="fr-FR"/>
        </w:rPr>
        <w:t>Adumbratio</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kabbalae</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christianae</w:t>
      </w:r>
      <w:proofErr w:type="spellEnd"/>
      <w:r w:rsidRPr="006868F6">
        <w:rPr>
          <w:rFonts w:ascii="Garamond" w:eastAsia="Times New Roman" w:hAnsi="Garamond" w:cs="Segoe UI"/>
          <w:color w:val="3A3A3A"/>
          <w:sz w:val="28"/>
          <w:szCs w:val="28"/>
          <w:lang w:val="fr-FR" w:eastAsia="fr-FR"/>
        </w:rPr>
        <w:t>. Tous ces personnages ont été connus de Leibniz. Et l’on sait enfin que Milton, John Donne, William Blake s’intéressèrent aussi à la kabbale.</w:t>
      </w:r>
    </w:p>
    <w:p w:rsidR="006868F6" w:rsidRPr="006868F6" w:rsidRDefault="006868F6" w:rsidP="00005877">
      <w:pPr>
        <w:spacing w:after="360" w:line="240" w:lineRule="auto"/>
        <w:jc w:val="both"/>
        <w:rPr>
          <w:rFonts w:ascii="Garamond" w:eastAsia="Times New Roman" w:hAnsi="Garamond" w:cs="Segoe UI"/>
          <w:color w:val="3A3A3A"/>
          <w:sz w:val="28"/>
          <w:szCs w:val="28"/>
          <w:lang w:val="fr-FR" w:eastAsia="fr-FR"/>
        </w:rPr>
      </w:pPr>
      <w:r w:rsidRPr="006868F6">
        <w:rPr>
          <w:rFonts w:ascii="Garamond" w:eastAsia="Times New Roman" w:hAnsi="Garamond" w:cs="Segoe UI"/>
          <w:color w:val="3A3A3A"/>
          <w:sz w:val="28"/>
          <w:szCs w:val="28"/>
          <w:lang w:val="fr-FR" w:eastAsia="fr-FR"/>
        </w:rPr>
        <w:t xml:space="preserve">La Hollande est le pays de </w:t>
      </w:r>
      <w:proofErr w:type="spellStart"/>
      <w:r w:rsidRPr="006868F6">
        <w:rPr>
          <w:rFonts w:ascii="Garamond" w:eastAsia="Times New Roman" w:hAnsi="Garamond" w:cs="Segoe UI"/>
          <w:color w:val="3A3A3A"/>
          <w:sz w:val="28"/>
          <w:szCs w:val="28"/>
          <w:lang w:val="fr-FR" w:eastAsia="fr-FR"/>
        </w:rPr>
        <w:t>Menasseh</w:t>
      </w:r>
      <w:proofErr w:type="spellEnd"/>
      <w:r w:rsidRPr="006868F6">
        <w:rPr>
          <w:rFonts w:ascii="Garamond" w:eastAsia="Times New Roman" w:hAnsi="Garamond" w:cs="Segoe UI"/>
          <w:color w:val="3A3A3A"/>
          <w:sz w:val="28"/>
          <w:szCs w:val="28"/>
          <w:lang w:val="fr-FR" w:eastAsia="fr-FR"/>
        </w:rPr>
        <w:t xml:space="preserve"> ben Israël (1604 env.-1657), qui connaît bien les kabbalistes chrétiens et renseigne les curieux sur la kabbale. C’est aussi celui de Spinoza, dont un protestant converti au judaïsme, J. F. </w:t>
      </w:r>
      <w:proofErr w:type="spellStart"/>
      <w:r w:rsidRPr="006868F6">
        <w:rPr>
          <w:rFonts w:ascii="Garamond" w:eastAsia="Times New Roman" w:hAnsi="Garamond" w:cs="Segoe UI"/>
          <w:color w:val="3A3A3A"/>
          <w:sz w:val="28"/>
          <w:szCs w:val="28"/>
          <w:lang w:val="fr-FR" w:eastAsia="fr-FR"/>
        </w:rPr>
        <w:t>Speeth</w:t>
      </w:r>
      <w:proofErr w:type="spellEnd"/>
      <w:r w:rsidRPr="006868F6">
        <w:rPr>
          <w:rFonts w:ascii="Garamond" w:eastAsia="Times New Roman" w:hAnsi="Garamond" w:cs="Segoe UI"/>
          <w:color w:val="3A3A3A"/>
          <w:sz w:val="28"/>
          <w:szCs w:val="28"/>
          <w:lang w:val="fr-FR" w:eastAsia="fr-FR"/>
        </w:rPr>
        <w:t xml:space="preserve"> (Moses </w:t>
      </w:r>
      <w:proofErr w:type="spellStart"/>
      <w:r w:rsidRPr="006868F6">
        <w:rPr>
          <w:rFonts w:ascii="Garamond" w:eastAsia="Times New Roman" w:hAnsi="Garamond" w:cs="Segoe UI"/>
          <w:color w:val="3A3A3A"/>
          <w:sz w:val="28"/>
          <w:szCs w:val="28"/>
          <w:lang w:val="fr-FR" w:eastAsia="fr-FR"/>
        </w:rPr>
        <w:t>Germanus</w:t>
      </w:r>
      <w:proofErr w:type="spellEnd"/>
      <w:r w:rsidRPr="006868F6">
        <w:rPr>
          <w:rFonts w:ascii="Garamond" w:eastAsia="Times New Roman" w:hAnsi="Garamond" w:cs="Segoe UI"/>
          <w:color w:val="3A3A3A"/>
          <w:sz w:val="28"/>
          <w:szCs w:val="28"/>
          <w:lang w:val="fr-FR" w:eastAsia="fr-FR"/>
        </w:rPr>
        <w:t xml:space="preserve">), pensa retrouver le panthéisme dans la kabbale. Il n’existe pas là d’université sans un hébraïsant et l’on y étudie la kabbale, qui explique l’équipée de </w:t>
      </w:r>
      <w:proofErr w:type="spellStart"/>
      <w:r w:rsidRPr="006868F6">
        <w:rPr>
          <w:rFonts w:ascii="Garamond" w:eastAsia="Times New Roman" w:hAnsi="Garamond" w:cs="Segoe UI"/>
          <w:color w:val="3A3A3A"/>
          <w:sz w:val="28"/>
          <w:szCs w:val="28"/>
          <w:lang w:val="fr-FR" w:eastAsia="fr-FR"/>
        </w:rPr>
        <w:t>Sabbataï</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Zevi</w:t>
      </w:r>
      <w:proofErr w:type="spellEnd"/>
      <w:r w:rsidRPr="006868F6">
        <w:rPr>
          <w:rFonts w:ascii="Garamond" w:eastAsia="Times New Roman" w:hAnsi="Garamond" w:cs="Segoe UI"/>
          <w:color w:val="3A3A3A"/>
          <w:sz w:val="28"/>
          <w:szCs w:val="28"/>
          <w:lang w:val="fr-FR" w:eastAsia="fr-FR"/>
        </w:rPr>
        <w:t xml:space="preserve"> (1626-1676). Ces recherches sont en relations souvent étroites avec l’Allemagne, où les travaux abondent: J. C. Wolf (1683-1759) avec sa </w:t>
      </w:r>
      <w:proofErr w:type="spellStart"/>
      <w:r w:rsidRPr="006868F6">
        <w:rPr>
          <w:rFonts w:ascii="Garamond" w:eastAsia="Times New Roman" w:hAnsi="Garamond" w:cs="Segoe UI"/>
          <w:color w:val="3A3A3A"/>
          <w:sz w:val="28"/>
          <w:szCs w:val="28"/>
          <w:lang w:val="fr-FR" w:eastAsia="fr-FR"/>
        </w:rPr>
        <w:t>Bibliotheca</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Hebraea</w:t>
      </w:r>
      <w:proofErr w:type="spellEnd"/>
      <w:r w:rsidRPr="006868F6">
        <w:rPr>
          <w:rFonts w:ascii="Garamond" w:eastAsia="Times New Roman" w:hAnsi="Garamond" w:cs="Segoe UI"/>
          <w:color w:val="3A3A3A"/>
          <w:sz w:val="28"/>
          <w:szCs w:val="28"/>
          <w:lang w:val="fr-FR" w:eastAsia="fr-FR"/>
        </w:rPr>
        <w:t xml:space="preserve"> ; J. F. </w:t>
      </w:r>
      <w:proofErr w:type="spellStart"/>
      <w:r w:rsidRPr="006868F6">
        <w:rPr>
          <w:rFonts w:ascii="Garamond" w:eastAsia="Times New Roman" w:hAnsi="Garamond" w:cs="Segoe UI"/>
          <w:color w:val="3A3A3A"/>
          <w:sz w:val="28"/>
          <w:szCs w:val="28"/>
          <w:lang w:val="fr-FR" w:eastAsia="fr-FR"/>
        </w:rPr>
        <w:t>Buddeus</w:t>
      </w:r>
      <w:proofErr w:type="spellEnd"/>
      <w:r w:rsidRPr="006868F6">
        <w:rPr>
          <w:rFonts w:ascii="Garamond" w:eastAsia="Times New Roman" w:hAnsi="Garamond" w:cs="Segoe UI"/>
          <w:color w:val="3A3A3A"/>
          <w:sz w:val="28"/>
          <w:szCs w:val="28"/>
          <w:lang w:val="fr-FR" w:eastAsia="fr-FR"/>
        </w:rPr>
        <w:t>, dont l’</w:t>
      </w:r>
      <w:proofErr w:type="spellStart"/>
      <w:r w:rsidRPr="006868F6">
        <w:rPr>
          <w:rFonts w:ascii="Garamond" w:eastAsia="Times New Roman" w:hAnsi="Garamond" w:cs="Segoe UI"/>
          <w:color w:val="3A3A3A"/>
          <w:sz w:val="28"/>
          <w:szCs w:val="28"/>
          <w:lang w:val="fr-FR" w:eastAsia="fr-FR"/>
        </w:rPr>
        <w:t>Introductio</w:t>
      </w:r>
      <w:proofErr w:type="spellEnd"/>
      <w:r w:rsidRPr="006868F6">
        <w:rPr>
          <w:rFonts w:ascii="Garamond" w:eastAsia="Times New Roman" w:hAnsi="Garamond" w:cs="Segoe UI"/>
          <w:color w:val="3A3A3A"/>
          <w:sz w:val="28"/>
          <w:szCs w:val="28"/>
          <w:lang w:val="fr-FR" w:eastAsia="fr-FR"/>
        </w:rPr>
        <w:t xml:space="preserve"> ad </w:t>
      </w:r>
      <w:proofErr w:type="spellStart"/>
      <w:r w:rsidRPr="006868F6">
        <w:rPr>
          <w:rFonts w:ascii="Garamond" w:eastAsia="Times New Roman" w:hAnsi="Garamond" w:cs="Segoe UI"/>
          <w:color w:val="3A3A3A"/>
          <w:sz w:val="28"/>
          <w:szCs w:val="28"/>
          <w:lang w:val="fr-FR" w:eastAsia="fr-FR"/>
        </w:rPr>
        <w:t>historiam</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philosophiae</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Ebraeorum</w:t>
      </w:r>
      <w:proofErr w:type="spellEnd"/>
      <w:r w:rsidRPr="006868F6">
        <w:rPr>
          <w:rFonts w:ascii="Garamond" w:eastAsia="Times New Roman" w:hAnsi="Garamond" w:cs="Segoe UI"/>
          <w:color w:val="3A3A3A"/>
          <w:sz w:val="28"/>
          <w:szCs w:val="28"/>
          <w:lang w:val="fr-FR" w:eastAsia="fr-FR"/>
        </w:rPr>
        <w:t xml:space="preserve"> est éditée en 1702 et 1720; G. Sommer, auteur du </w:t>
      </w:r>
      <w:proofErr w:type="spellStart"/>
      <w:r w:rsidRPr="006868F6">
        <w:rPr>
          <w:rFonts w:ascii="Garamond" w:eastAsia="Times New Roman" w:hAnsi="Garamond" w:cs="Segoe UI"/>
          <w:color w:val="3A3A3A"/>
          <w:sz w:val="28"/>
          <w:szCs w:val="28"/>
          <w:lang w:val="fr-FR" w:eastAsia="fr-FR"/>
        </w:rPr>
        <w:t>Specimen</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theologiae</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soharicae</w:t>
      </w:r>
      <w:proofErr w:type="spellEnd"/>
      <w:r w:rsidRPr="006868F6">
        <w:rPr>
          <w:rFonts w:ascii="Garamond" w:eastAsia="Times New Roman" w:hAnsi="Garamond" w:cs="Segoe UI"/>
          <w:color w:val="3A3A3A"/>
          <w:sz w:val="28"/>
          <w:szCs w:val="28"/>
          <w:lang w:val="fr-FR" w:eastAsia="fr-FR"/>
        </w:rPr>
        <w:t xml:space="preserve"> (1734); Hermann von der Hardt, auteur des </w:t>
      </w:r>
      <w:proofErr w:type="spellStart"/>
      <w:r w:rsidRPr="006868F6">
        <w:rPr>
          <w:rFonts w:ascii="Garamond" w:eastAsia="Times New Roman" w:hAnsi="Garamond" w:cs="Segoe UI"/>
          <w:color w:val="3A3A3A"/>
          <w:sz w:val="28"/>
          <w:szCs w:val="28"/>
          <w:lang w:val="fr-FR" w:eastAsia="fr-FR"/>
        </w:rPr>
        <w:t>Ænigmata</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Judaeorum</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religiosissima</w:t>
      </w:r>
      <w:proofErr w:type="spellEnd"/>
      <w:r w:rsidRPr="006868F6">
        <w:rPr>
          <w:rFonts w:ascii="Garamond" w:eastAsia="Times New Roman" w:hAnsi="Garamond" w:cs="Segoe UI"/>
          <w:color w:val="3A3A3A"/>
          <w:sz w:val="28"/>
          <w:szCs w:val="28"/>
          <w:lang w:val="fr-FR" w:eastAsia="fr-FR"/>
        </w:rPr>
        <w:t xml:space="preserve"> (1705); Christian </w:t>
      </w:r>
      <w:proofErr w:type="spellStart"/>
      <w:r w:rsidRPr="006868F6">
        <w:rPr>
          <w:rFonts w:ascii="Garamond" w:eastAsia="Times New Roman" w:hAnsi="Garamond" w:cs="Segoe UI"/>
          <w:color w:val="3A3A3A"/>
          <w:sz w:val="28"/>
          <w:szCs w:val="28"/>
          <w:lang w:val="fr-FR" w:eastAsia="fr-FR"/>
        </w:rPr>
        <w:t>Schoettgen</w:t>
      </w:r>
      <w:proofErr w:type="spellEnd"/>
      <w:r w:rsidRPr="006868F6">
        <w:rPr>
          <w:rFonts w:ascii="Garamond" w:eastAsia="Times New Roman" w:hAnsi="Garamond" w:cs="Segoe UI"/>
          <w:color w:val="3A3A3A"/>
          <w:sz w:val="28"/>
          <w:szCs w:val="28"/>
          <w:lang w:val="fr-FR" w:eastAsia="fr-FR"/>
        </w:rPr>
        <w:t xml:space="preserve">, qui, dans ses </w:t>
      </w:r>
      <w:proofErr w:type="spellStart"/>
      <w:r w:rsidRPr="006868F6">
        <w:rPr>
          <w:rFonts w:ascii="Garamond" w:eastAsia="Times New Roman" w:hAnsi="Garamond" w:cs="Segoe UI"/>
          <w:color w:val="3A3A3A"/>
          <w:sz w:val="28"/>
          <w:szCs w:val="28"/>
          <w:lang w:val="fr-FR" w:eastAsia="fr-FR"/>
        </w:rPr>
        <w:t>Horae</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hebraicae</w:t>
      </w:r>
      <w:proofErr w:type="spellEnd"/>
      <w:r w:rsidRPr="006868F6">
        <w:rPr>
          <w:rFonts w:ascii="Garamond" w:eastAsia="Times New Roman" w:hAnsi="Garamond" w:cs="Segoe UI"/>
          <w:color w:val="3A3A3A"/>
          <w:sz w:val="28"/>
          <w:szCs w:val="28"/>
          <w:lang w:val="fr-FR" w:eastAsia="fr-FR"/>
        </w:rPr>
        <w:t xml:space="preserve"> et </w:t>
      </w:r>
      <w:proofErr w:type="spellStart"/>
      <w:r w:rsidRPr="006868F6">
        <w:rPr>
          <w:rFonts w:ascii="Garamond" w:eastAsia="Times New Roman" w:hAnsi="Garamond" w:cs="Segoe UI"/>
          <w:color w:val="3A3A3A"/>
          <w:sz w:val="28"/>
          <w:szCs w:val="28"/>
          <w:lang w:val="fr-FR" w:eastAsia="fr-FR"/>
        </w:rPr>
        <w:t>talmudicae</w:t>
      </w:r>
      <w:proofErr w:type="spellEnd"/>
      <w:r w:rsidRPr="006868F6">
        <w:rPr>
          <w:rFonts w:ascii="Garamond" w:eastAsia="Times New Roman" w:hAnsi="Garamond" w:cs="Segoe UI"/>
          <w:color w:val="3A3A3A"/>
          <w:sz w:val="28"/>
          <w:szCs w:val="28"/>
          <w:lang w:val="fr-FR" w:eastAsia="fr-FR"/>
        </w:rPr>
        <w:t xml:space="preserve"> (1742), croit que l’auteur du Zohar est chrétien; J. </w:t>
      </w:r>
      <w:proofErr w:type="spellStart"/>
      <w:r w:rsidRPr="006868F6">
        <w:rPr>
          <w:rFonts w:ascii="Garamond" w:eastAsia="Times New Roman" w:hAnsi="Garamond" w:cs="Segoe UI"/>
          <w:color w:val="3A3A3A"/>
          <w:sz w:val="28"/>
          <w:szCs w:val="28"/>
          <w:lang w:val="fr-FR" w:eastAsia="fr-FR"/>
        </w:rPr>
        <w:t>Brucker</w:t>
      </w:r>
      <w:proofErr w:type="spellEnd"/>
      <w:r w:rsidRPr="006868F6">
        <w:rPr>
          <w:rFonts w:ascii="Garamond" w:eastAsia="Times New Roman" w:hAnsi="Garamond" w:cs="Segoe UI"/>
          <w:color w:val="3A3A3A"/>
          <w:sz w:val="28"/>
          <w:szCs w:val="28"/>
          <w:lang w:val="fr-FR" w:eastAsia="fr-FR"/>
        </w:rPr>
        <w:t xml:space="preserve">, qui consacrera bien des pages de son Historia </w:t>
      </w:r>
      <w:proofErr w:type="spellStart"/>
      <w:r w:rsidRPr="006868F6">
        <w:rPr>
          <w:rFonts w:ascii="Garamond" w:eastAsia="Times New Roman" w:hAnsi="Garamond" w:cs="Segoe UI"/>
          <w:color w:val="3A3A3A"/>
          <w:sz w:val="28"/>
          <w:szCs w:val="28"/>
          <w:lang w:val="fr-FR" w:eastAsia="fr-FR"/>
        </w:rPr>
        <w:t>critica</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philosophiae</w:t>
      </w:r>
      <w:proofErr w:type="spellEnd"/>
      <w:r w:rsidRPr="006868F6">
        <w:rPr>
          <w:rFonts w:ascii="Garamond" w:eastAsia="Times New Roman" w:hAnsi="Garamond" w:cs="Segoe UI"/>
          <w:color w:val="3A3A3A"/>
          <w:sz w:val="28"/>
          <w:szCs w:val="28"/>
          <w:lang w:val="fr-FR" w:eastAsia="fr-FR"/>
        </w:rPr>
        <w:t xml:space="preserve"> tant à la kabbale qu’aux kabbalistes chrétiens; F. J. Molitor (1779-1861), qui en fera la matière de sa </w:t>
      </w:r>
      <w:r w:rsidRPr="006868F6">
        <w:rPr>
          <w:rFonts w:ascii="Garamond" w:eastAsia="Times New Roman" w:hAnsi="Garamond" w:cs="Segoe UI"/>
          <w:color w:val="3A3A3A"/>
          <w:sz w:val="28"/>
          <w:szCs w:val="28"/>
          <w:lang w:val="fr-FR" w:eastAsia="fr-FR"/>
        </w:rPr>
        <w:lastRenderedPageBreak/>
        <w:t xml:space="preserve">Philosophie der </w:t>
      </w:r>
      <w:proofErr w:type="spellStart"/>
      <w:r w:rsidRPr="006868F6">
        <w:rPr>
          <w:rFonts w:ascii="Garamond" w:eastAsia="Times New Roman" w:hAnsi="Garamond" w:cs="Segoe UI"/>
          <w:color w:val="3A3A3A"/>
          <w:sz w:val="28"/>
          <w:szCs w:val="28"/>
          <w:lang w:val="fr-FR" w:eastAsia="fr-FR"/>
        </w:rPr>
        <w:t>Geschichte</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oder</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ueber</w:t>
      </w:r>
      <w:proofErr w:type="spellEnd"/>
      <w:r w:rsidRPr="006868F6">
        <w:rPr>
          <w:rFonts w:ascii="Garamond" w:eastAsia="Times New Roman" w:hAnsi="Garamond" w:cs="Segoe UI"/>
          <w:color w:val="3A3A3A"/>
          <w:sz w:val="28"/>
          <w:szCs w:val="28"/>
          <w:lang w:val="fr-FR" w:eastAsia="fr-FR"/>
        </w:rPr>
        <w:t xml:space="preserve"> die Tradition . Ce courant s’étend jusqu’en Suède, où un converti, Johannes </w:t>
      </w:r>
      <w:proofErr w:type="spellStart"/>
      <w:r w:rsidRPr="006868F6">
        <w:rPr>
          <w:rFonts w:ascii="Garamond" w:eastAsia="Times New Roman" w:hAnsi="Garamond" w:cs="Segoe UI"/>
          <w:color w:val="3A3A3A"/>
          <w:sz w:val="28"/>
          <w:szCs w:val="28"/>
          <w:lang w:val="fr-FR" w:eastAsia="fr-FR"/>
        </w:rPr>
        <w:t>Kemper</w:t>
      </w:r>
      <w:proofErr w:type="spellEnd"/>
      <w:r w:rsidRPr="006868F6">
        <w:rPr>
          <w:rFonts w:ascii="Garamond" w:eastAsia="Times New Roman" w:hAnsi="Garamond" w:cs="Segoe UI"/>
          <w:color w:val="3A3A3A"/>
          <w:sz w:val="28"/>
          <w:szCs w:val="28"/>
          <w:lang w:val="fr-FR" w:eastAsia="fr-FR"/>
        </w:rPr>
        <w:t xml:space="preserve">, créa une école, illustrée notamment par Andreas </w:t>
      </w:r>
      <w:proofErr w:type="spellStart"/>
      <w:r w:rsidRPr="006868F6">
        <w:rPr>
          <w:rFonts w:ascii="Garamond" w:eastAsia="Times New Roman" w:hAnsi="Garamond" w:cs="Segoe UI"/>
          <w:color w:val="3A3A3A"/>
          <w:sz w:val="28"/>
          <w:szCs w:val="28"/>
          <w:lang w:val="fr-FR" w:eastAsia="fr-FR"/>
        </w:rPr>
        <w:t>Norrelius</w:t>
      </w:r>
      <w:proofErr w:type="spellEnd"/>
      <w:r w:rsidRPr="006868F6">
        <w:rPr>
          <w:rFonts w:ascii="Garamond" w:eastAsia="Times New Roman" w:hAnsi="Garamond" w:cs="Segoe UI"/>
          <w:color w:val="3A3A3A"/>
          <w:sz w:val="28"/>
          <w:szCs w:val="28"/>
          <w:lang w:val="fr-FR" w:eastAsia="fr-FR"/>
        </w:rPr>
        <w:t>, dont l’œuvre sera traduite par J. de Pauly sous le titre, l’Aurore de la foi orthodoxe des anciens kabbalistes.</w:t>
      </w:r>
    </w:p>
    <w:p w:rsidR="006868F6" w:rsidRPr="006868F6" w:rsidRDefault="006868F6" w:rsidP="00005877">
      <w:pPr>
        <w:spacing w:after="360" w:line="240" w:lineRule="auto"/>
        <w:jc w:val="both"/>
        <w:rPr>
          <w:rFonts w:ascii="Garamond" w:eastAsia="Times New Roman" w:hAnsi="Garamond" w:cs="Segoe UI"/>
          <w:color w:val="3A3A3A"/>
          <w:sz w:val="28"/>
          <w:szCs w:val="28"/>
          <w:lang w:val="fr-FR" w:eastAsia="fr-FR"/>
        </w:rPr>
      </w:pPr>
      <w:r w:rsidRPr="006868F6">
        <w:rPr>
          <w:rFonts w:ascii="Garamond" w:eastAsia="Times New Roman" w:hAnsi="Garamond" w:cs="Segoe UI"/>
          <w:color w:val="3A3A3A"/>
          <w:sz w:val="28"/>
          <w:szCs w:val="28"/>
          <w:lang w:val="fr-FR" w:eastAsia="fr-FR"/>
        </w:rPr>
        <w:t xml:space="preserve">Au cours de cette histoire, l’intérêt plus proprement religieux pour la kabbale coïncida souvent avec des curiosités pour la magie, l’astrologie, la physiognomonie, l’art de Lulle, l’alchimie et l’ars </w:t>
      </w:r>
      <w:proofErr w:type="spellStart"/>
      <w:r w:rsidRPr="006868F6">
        <w:rPr>
          <w:rFonts w:ascii="Garamond" w:eastAsia="Times New Roman" w:hAnsi="Garamond" w:cs="Segoe UI"/>
          <w:color w:val="3A3A3A"/>
          <w:sz w:val="28"/>
          <w:szCs w:val="28"/>
          <w:lang w:val="fr-FR" w:eastAsia="fr-FR"/>
        </w:rPr>
        <w:t>notoria</w:t>
      </w:r>
      <w:proofErr w:type="spellEnd"/>
      <w:r w:rsidRPr="006868F6">
        <w:rPr>
          <w:rFonts w:ascii="Garamond" w:eastAsia="Times New Roman" w:hAnsi="Garamond" w:cs="Segoe UI"/>
          <w:color w:val="3A3A3A"/>
          <w:sz w:val="28"/>
          <w:szCs w:val="28"/>
          <w:lang w:val="fr-FR" w:eastAsia="fr-FR"/>
        </w:rPr>
        <w:t xml:space="preserve">, voire la </w:t>
      </w:r>
      <w:proofErr w:type="spellStart"/>
      <w:r w:rsidRPr="006868F6">
        <w:rPr>
          <w:rFonts w:ascii="Garamond" w:eastAsia="Times New Roman" w:hAnsi="Garamond" w:cs="Segoe UI"/>
          <w:color w:val="3A3A3A"/>
          <w:sz w:val="28"/>
          <w:szCs w:val="28"/>
          <w:lang w:val="fr-FR" w:eastAsia="fr-FR"/>
        </w:rPr>
        <w:t>zaraiga</w:t>
      </w:r>
      <w:proofErr w:type="spellEnd"/>
      <w:r w:rsidRPr="006868F6">
        <w:rPr>
          <w:rFonts w:ascii="Garamond" w:eastAsia="Times New Roman" w:hAnsi="Garamond" w:cs="Segoe UI"/>
          <w:color w:val="3A3A3A"/>
          <w:sz w:val="28"/>
          <w:szCs w:val="28"/>
          <w:lang w:val="fr-FR" w:eastAsia="fr-FR"/>
        </w:rPr>
        <w:t xml:space="preserve"> révélée par Léon l’Africain. Si le De </w:t>
      </w:r>
      <w:proofErr w:type="spellStart"/>
      <w:r w:rsidRPr="006868F6">
        <w:rPr>
          <w:rFonts w:ascii="Garamond" w:eastAsia="Times New Roman" w:hAnsi="Garamond" w:cs="Segoe UI"/>
          <w:color w:val="3A3A3A"/>
          <w:sz w:val="28"/>
          <w:szCs w:val="28"/>
          <w:lang w:val="fr-FR" w:eastAsia="fr-FR"/>
        </w:rPr>
        <w:t>auditu</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kabbalistico</w:t>
      </w:r>
      <w:proofErr w:type="spellEnd"/>
      <w:r w:rsidRPr="006868F6">
        <w:rPr>
          <w:rFonts w:ascii="Garamond" w:eastAsia="Times New Roman" w:hAnsi="Garamond" w:cs="Segoe UI"/>
          <w:color w:val="3A3A3A"/>
          <w:sz w:val="28"/>
          <w:szCs w:val="28"/>
          <w:lang w:val="fr-FR" w:eastAsia="fr-FR"/>
        </w:rPr>
        <w:t xml:space="preserve"> (1518) ne traite que de lullisme, la </w:t>
      </w:r>
      <w:proofErr w:type="spellStart"/>
      <w:r w:rsidRPr="006868F6">
        <w:rPr>
          <w:rFonts w:ascii="Garamond" w:eastAsia="Times New Roman" w:hAnsi="Garamond" w:cs="Segoe UI"/>
          <w:color w:val="3A3A3A"/>
          <w:sz w:val="28"/>
          <w:szCs w:val="28"/>
          <w:lang w:val="fr-FR" w:eastAsia="fr-FR"/>
        </w:rPr>
        <w:t>Voarchadumia</w:t>
      </w:r>
      <w:proofErr w:type="spellEnd"/>
      <w:r w:rsidRPr="006868F6">
        <w:rPr>
          <w:rFonts w:ascii="Garamond" w:eastAsia="Times New Roman" w:hAnsi="Garamond" w:cs="Segoe UI"/>
          <w:color w:val="3A3A3A"/>
          <w:sz w:val="28"/>
          <w:szCs w:val="28"/>
          <w:lang w:val="fr-FR" w:eastAsia="fr-FR"/>
        </w:rPr>
        <w:t xml:space="preserve"> (1518) de J. A. </w:t>
      </w:r>
      <w:proofErr w:type="spellStart"/>
      <w:r w:rsidRPr="006868F6">
        <w:rPr>
          <w:rFonts w:ascii="Garamond" w:eastAsia="Times New Roman" w:hAnsi="Garamond" w:cs="Segoe UI"/>
          <w:color w:val="3A3A3A"/>
          <w:sz w:val="28"/>
          <w:szCs w:val="28"/>
          <w:lang w:val="fr-FR" w:eastAsia="fr-FR"/>
        </w:rPr>
        <w:t>Pantheus</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kabbalise</w:t>
      </w:r>
      <w:proofErr w:type="spellEnd"/>
      <w:r w:rsidRPr="006868F6">
        <w:rPr>
          <w:rFonts w:ascii="Garamond" w:eastAsia="Times New Roman" w:hAnsi="Garamond" w:cs="Segoe UI"/>
          <w:color w:val="3A3A3A"/>
          <w:sz w:val="28"/>
          <w:szCs w:val="28"/>
          <w:lang w:val="fr-FR" w:eastAsia="fr-FR"/>
        </w:rPr>
        <w:t xml:space="preserve"> l’alchimie, qui intéresse alors François Georges de Venise. Avec Paracelse s’engage un processus qui sera illustré par l’</w:t>
      </w:r>
      <w:proofErr w:type="spellStart"/>
      <w:r w:rsidRPr="006868F6">
        <w:rPr>
          <w:rFonts w:ascii="Garamond" w:eastAsia="Times New Roman" w:hAnsi="Garamond" w:cs="Segoe UI"/>
          <w:color w:val="3A3A3A"/>
          <w:sz w:val="28"/>
          <w:szCs w:val="28"/>
          <w:lang w:val="fr-FR" w:eastAsia="fr-FR"/>
        </w:rPr>
        <w:t>Amphitheatrum</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Sapientiae</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aeternae</w:t>
      </w:r>
      <w:proofErr w:type="spellEnd"/>
      <w:r w:rsidRPr="006868F6">
        <w:rPr>
          <w:rFonts w:ascii="Garamond" w:eastAsia="Times New Roman" w:hAnsi="Garamond" w:cs="Segoe UI"/>
          <w:color w:val="3A3A3A"/>
          <w:sz w:val="28"/>
          <w:szCs w:val="28"/>
          <w:lang w:val="fr-FR" w:eastAsia="fr-FR"/>
        </w:rPr>
        <w:t xml:space="preserve"> (1609) d’Henri </w:t>
      </w:r>
      <w:proofErr w:type="spellStart"/>
      <w:r w:rsidRPr="006868F6">
        <w:rPr>
          <w:rFonts w:ascii="Garamond" w:eastAsia="Times New Roman" w:hAnsi="Garamond" w:cs="Segoe UI"/>
          <w:color w:val="3A3A3A"/>
          <w:sz w:val="28"/>
          <w:szCs w:val="28"/>
          <w:lang w:val="fr-FR" w:eastAsia="fr-FR"/>
        </w:rPr>
        <w:t>Kunrath</w:t>
      </w:r>
      <w:proofErr w:type="spellEnd"/>
      <w:r w:rsidRPr="006868F6">
        <w:rPr>
          <w:rFonts w:ascii="Garamond" w:eastAsia="Times New Roman" w:hAnsi="Garamond" w:cs="Segoe UI"/>
          <w:color w:val="3A3A3A"/>
          <w:sz w:val="28"/>
          <w:szCs w:val="28"/>
          <w:lang w:val="fr-FR" w:eastAsia="fr-FR"/>
        </w:rPr>
        <w:t xml:space="preserve">, comme par le mouvement de la Rose-Croix. Et, parce que Jean </w:t>
      </w:r>
      <w:proofErr w:type="spellStart"/>
      <w:r w:rsidRPr="006868F6">
        <w:rPr>
          <w:rFonts w:ascii="Garamond" w:eastAsia="Times New Roman" w:hAnsi="Garamond" w:cs="Segoe UI"/>
          <w:color w:val="3A3A3A"/>
          <w:sz w:val="28"/>
          <w:szCs w:val="28"/>
          <w:lang w:val="fr-FR" w:eastAsia="fr-FR"/>
        </w:rPr>
        <w:t>Trithème</w:t>
      </w:r>
      <w:proofErr w:type="spellEnd"/>
      <w:r w:rsidRPr="006868F6">
        <w:rPr>
          <w:rFonts w:ascii="Garamond" w:eastAsia="Times New Roman" w:hAnsi="Garamond" w:cs="Segoe UI"/>
          <w:color w:val="3A3A3A"/>
          <w:sz w:val="28"/>
          <w:szCs w:val="28"/>
          <w:lang w:val="fr-FR" w:eastAsia="fr-FR"/>
        </w:rPr>
        <w:t xml:space="preserve"> a été le maître de Paracelse, sa </w:t>
      </w:r>
      <w:proofErr w:type="spellStart"/>
      <w:r w:rsidRPr="006868F6">
        <w:rPr>
          <w:rFonts w:ascii="Garamond" w:eastAsia="Times New Roman" w:hAnsi="Garamond" w:cs="Segoe UI"/>
          <w:color w:val="3A3A3A"/>
          <w:sz w:val="28"/>
          <w:szCs w:val="28"/>
          <w:lang w:val="fr-FR" w:eastAsia="fr-FR"/>
        </w:rPr>
        <w:t>Steganographie</w:t>
      </w:r>
      <w:proofErr w:type="spellEnd"/>
      <w:r w:rsidRPr="006868F6">
        <w:rPr>
          <w:rFonts w:ascii="Garamond" w:eastAsia="Times New Roman" w:hAnsi="Garamond" w:cs="Segoe UI"/>
          <w:color w:val="3A3A3A"/>
          <w:sz w:val="28"/>
          <w:szCs w:val="28"/>
          <w:lang w:val="fr-FR" w:eastAsia="fr-FR"/>
        </w:rPr>
        <w:t xml:space="preserve"> en viendra à désigner l’alchimie pour Jacques Gohory, un des premiers introducteurs de Paracelse en France, tandis que la </w:t>
      </w:r>
      <w:proofErr w:type="spellStart"/>
      <w:r w:rsidRPr="006868F6">
        <w:rPr>
          <w:rFonts w:ascii="Garamond" w:eastAsia="Times New Roman" w:hAnsi="Garamond" w:cs="Segoe UI"/>
          <w:color w:val="3A3A3A"/>
          <w:sz w:val="28"/>
          <w:szCs w:val="28"/>
          <w:lang w:val="fr-FR" w:eastAsia="fr-FR"/>
        </w:rPr>
        <w:t>Kabbala</w:t>
      </w:r>
      <w:proofErr w:type="spellEnd"/>
      <w:r w:rsidRPr="006868F6">
        <w:rPr>
          <w:rFonts w:ascii="Garamond" w:eastAsia="Times New Roman" w:hAnsi="Garamond" w:cs="Segoe UI"/>
          <w:color w:val="3A3A3A"/>
          <w:sz w:val="28"/>
          <w:szCs w:val="28"/>
          <w:lang w:val="fr-FR" w:eastAsia="fr-FR"/>
        </w:rPr>
        <w:t xml:space="preserve"> </w:t>
      </w:r>
      <w:proofErr w:type="spellStart"/>
      <w:r w:rsidRPr="006868F6">
        <w:rPr>
          <w:rFonts w:ascii="Garamond" w:eastAsia="Times New Roman" w:hAnsi="Garamond" w:cs="Segoe UI"/>
          <w:color w:val="3A3A3A"/>
          <w:sz w:val="28"/>
          <w:szCs w:val="28"/>
          <w:lang w:val="fr-FR" w:eastAsia="fr-FR"/>
        </w:rPr>
        <w:t>denudata</w:t>
      </w:r>
      <w:proofErr w:type="spellEnd"/>
      <w:r w:rsidRPr="006868F6">
        <w:rPr>
          <w:rFonts w:ascii="Garamond" w:eastAsia="Times New Roman" w:hAnsi="Garamond" w:cs="Segoe UI"/>
          <w:color w:val="3A3A3A"/>
          <w:sz w:val="28"/>
          <w:szCs w:val="28"/>
          <w:lang w:val="fr-FR" w:eastAsia="fr-FR"/>
        </w:rPr>
        <w:t>, qui, dès le titre, s’adressait aux adeptes, vulgarisa un traité de kabbale alchimique, l’</w:t>
      </w:r>
      <w:proofErr w:type="spellStart"/>
      <w:r w:rsidRPr="006868F6">
        <w:rPr>
          <w:rFonts w:ascii="Garamond" w:eastAsia="Times New Roman" w:hAnsi="Garamond" w:cs="Segoe UI"/>
          <w:color w:val="3A3A3A"/>
          <w:sz w:val="28"/>
          <w:szCs w:val="28"/>
          <w:lang w:val="fr-FR" w:eastAsia="fr-FR"/>
        </w:rPr>
        <w:t>Esh</w:t>
      </w:r>
      <w:proofErr w:type="spellEnd"/>
      <w:r w:rsidRPr="006868F6">
        <w:rPr>
          <w:rFonts w:ascii="Garamond" w:eastAsia="Times New Roman" w:hAnsi="Garamond" w:cs="Segoe UI"/>
          <w:color w:val="3A3A3A"/>
          <w:sz w:val="28"/>
          <w:szCs w:val="28"/>
          <w:lang w:val="fr-FR" w:eastAsia="fr-FR"/>
        </w:rPr>
        <w:t xml:space="preserve"> ha-</w:t>
      </w:r>
      <w:proofErr w:type="spellStart"/>
      <w:r w:rsidRPr="006868F6">
        <w:rPr>
          <w:rFonts w:ascii="Garamond" w:eastAsia="Times New Roman" w:hAnsi="Garamond" w:cs="Segoe UI"/>
          <w:color w:val="3A3A3A"/>
          <w:sz w:val="28"/>
          <w:szCs w:val="28"/>
          <w:lang w:val="fr-FR" w:eastAsia="fr-FR"/>
        </w:rPr>
        <w:t>Mezaref</w:t>
      </w:r>
      <w:proofErr w:type="spellEnd"/>
      <w:r w:rsidRPr="006868F6">
        <w:rPr>
          <w:rFonts w:ascii="Garamond" w:eastAsia="Times New Roman" w:hAnsi="Garamond" w:cs="Segoe UI"/>
          <w:color w:val="3A3A3A"/>
          <w:sz w:val="28"/>
          <w:szCs w:val="28"/>
          <w:lang w:val="fr-FR" w:eastAsia="fr-FR"/>
        </w:rPr>
        <w:t xml:space="preserve"> </w:t>
      </w:r>
      <w:r w:rsidR="00C41033" w:rsidRPr="006868F6">
        <w:rPr>
          <w:rFonts w:ascii="Garamond" w:eastAsia="Times New Roman" w:hAnsi="Garamond" w:cs="Segoe UI"/>
          <w:color w:val="3A3A3A"/>
          <w:sz w:val="28"/>
          <w:szCs w:val="28"/>
          <w:lang w:val="fr-FR" w:eastAsia="fr-FR"/>
        </w:rPr>
        <w:t>(« Le</w:t>
      </w:r>
      <w:r w:rsidRPr="006868F6">
        <w:rPr>
          <w:rFonts w:ascii="Garamond" w:eastAsia="Times New Roman" w:hAnsi="Garamond" w:cs="Segoe UI"/>
          <w:color w:val="3A3A3A"/>
          <w:sz w:val="28"/>
          <w:szCs w:val="28"/>
          <w:lang w:val="fr-FR" w:eastAsia="fr-FR"/>
        </w:rPr>
        <w:t xml:space="preserve"> Feu </w:t>
      </w:r>
      <w:r w:rsidR="00C41033" w:rsidRPr="006868F6">
        <w:rPr>
          <w:rFonts w:ascii="Garamond" w:eastAsia="Times New Roman" w:hAnsi="Garamond" w:cs="Segoe UI"/>
          <w:color w:val="3A3A3A"/>
          <w:sz w:val="28"/>
          <w:szCs w:val="28"/>
          <w:lang w:val="fr-FR" w:eastAsia="fr-FR"/>
        </w:rPr>
        <w:t>purificateur »</w:t>
      </w:r>
      <w:r w:rsidRPr="006868F6">
        <w:rPr>
          <w:rFonts w:ascii="Garamond" w:eastAsia="Times New Roman" w:hAnsi="Garamond" w:cs="Segoe UI"/>
          <w:color w:val="3A3A3A"/>
          <w:sz w:val="28"/>
          <w:szCs w:val="28"/>
          <w:lang w:val="fr-FR" w:eastAsia="fr-FR"/>
        </w:rPr>
        <w:t xml:space="preserve">). C’est dans cette perspective qu’il faut situer Le Comte de </w:t>
      </w:r>
      <w:proofErr w:type="spellStart"/>
      <w:r w:rsidRPr="006868F6">
        <w:rPr>
          <w:rFonts w:ascii="Garamond" w:eastAsia="Times New Roman" w:hAnsi="Garamond" w:cs="Segoe UI"/>
          <w:color w:val="3A3A3A"/>
          <w:sz w:val="28"/>
          <w:szCs w:val="28"/>
          <w:lang w:val="fr-FR" w:eastAsia="fr-FR"/>
        </w:rPr>
        <w:t>Gabalis</w:t>
      </w:r>
      <w:proofErr w:type="spellEnd"/>
      <w:r w:rsidRPr="006868F6">
        <w:rPr>
          <w:rFonts w:ascii="Garamond" w:eastAsia="Times New Roman" w:hAnsi="Garamond" w:cs="Segoe UI"/>
          <w:color w:val="3A3A3A"/>
          <w:sz w:val="28"/>
          <w:szCs w:val="28"/>
          <w:lang w:val="fr-FR" w:eastAsia="fr-FR"/>
        </w:rPr>
        <w:t xml:space="preserve"> ou Entretiens sur les sciences secrètes (1670), que popularisera La Rôtisserie de la Reine Pédauque. Il n’est pas étonnant que la kabbale soit devenue le bien des occultistes au temps où A. Franck (1809-1893) publiait La Kabbale ou la Philosophie religieuse des Hébreux (1843). Franck eut la faiblesse d’encourager Gérard Encausse dit Papus (1865-</w:t>
      </w:r>
      <w:r w:rsidRPr="006868F6">
        <w:rPr>
          <w:rFonts w:ascii="Garamond" w:eastAsia="Times New Roman" w:hAnsi="Garamond" w:cs="Segoe UI"/>
          <w:color w:val="3A3A3A"/>
          <w:sz w:val="28"/>
          <w:szCs w:val="28"/>
          <w:lang w:val="fr-FR" w:eastAsia="fr-FR"/>
        </w:rPr>
        <w:lastRenderedPageBreak/>
        <w:t xml:space="preserve">1916), qui n’hésita pas à utiliser, pour sa </w:t>
      </w:r>
      <w:r w:rsidRPr="00C41033">
        <w:rPr>
          <w:rFonts w:ascii="Garamond" w:eastAsia="Times New Roman" w:hAnsi="Garamond" w:cs="Segoe UI"/>
          <w:color w:val="3A3A3A"/>
          <w:sz w:val="28"/>
          <w:szCs w:val="28"/>
          <w:u w:val="single"/>
          <w:lang w:val="fr-FR" w:eastAsia="fr-FR"/>
        </w:rPr>
        <w:t>Cabale</w:t>
      </w:r>
      <w:r w:rsidRPr="006868F6">
        <w:rPr>
          <w:rFonts w:ascii="Garamond" w:eastAsia="Times New Roman" w:hAnsi="Garamond" w:cs="Segoe UI"/>
          <w:color w:val="3A3A3A"/>
          <w:sz w:val="28"/>
          <w:szCs w:val="28"/>
          <w:lang w:val="fr-FR" w:eastAsia="fr-FR"/>
        </w:rPr>
        <w:t xml:space="preserve">, tradition sainte de l’Occident (1892), en même temps l’œuvre de Franck et celle de son adversaire, le chevalier Drach, rabbin converti, qui dédia à Ingres un des tomes de De l’harmonie entre l’Église et la Synagogue. Au sein de ces courants occultistes, on vit du moins un effort d’honnêteté chez Arthur Edgar Waite, qui, après avoir publié à la </w:t>
      </w:r>
      <w:proofErr w:type="spellStart"/>
      <w:r w:rsidRPr="006868F6">
        <w:rPr>
          <w:rFonts w:ascii="Garamond" w:eastAsia="Times New Roman" w:hAnsi="Garamond" w:cs="Segoe UI"/>
          <w:color w:val="3A3A3A"/>
          <w:sz w:val="28"/>
          <w:szCs w:val="28"/>
          <w:lang w:val="fr-FR" w:eastAsia="fr-FR"/>
        </w:rPr>
        <w:t>Theosophical</w:t>
      </w:r>
      <w:proofErr w:type="spellEnd"/>
      <w:r w:rsidRPr="006868F6">
        <w:rPr>
          <w:rFonts w:ascii="Garamond" w:eastAsia="Times New Roman" w:hAnsi="Garamond" w:cs="Segoe UI"/>
          <w:color w:val="3A3A3A"/>
          <w:sz w:val="28"/>
          <w:szCs w:val="28"/>
          <w:lang w:val="fr-FR" w:eastAsia="fr-FR"/>
        </w:rPr>
        <w:t xml:space="preserve"> Society (1902) une étude sur la kabbale, en redonna une édition en 1929, après la publication en France en 1923 de La Kabbale juive de Paul </w:t>
      </w:r>
      <w:proofErr w:type="spellStart"/>
      <w:r w:rsidRPr="006868F6">
        <w:rPr>
          <w:rFonts w:ascii="Garamond" w:eastAsia="Times New Roman" w:hAnsi="Garamond" w:cs="Segoe UI"/>
          <w:color w:val="3A3A3A"/>
          <w:sz w:val="28"/>
          <w:szCs w:val="28"/>
          <w:lang w:val="fr-FR" w:eastAsia="fr-FR"/>
        </w:rPr>
        <w:t>Vulliand</w:t>
      </w:r>
      <w:proofErr w:type="spellEnd"/>
      <w:r w:rsidRPr="006868F6">
        <w:rPr>
          <w:rFonts w:ascii="Garamond" w:eastAsia="Times New Roman" w:hAnsi="Garamond" w:cs="Segoe UI"/>
          <w:color w:val="3A3A3A"/>
          <w:sz w:val="28"/>
          <w:szCs w:val="28"/>
          <w:lang w:val="fr-FR" w:eastAsia="fr-FR"/>
        </w:rPr>
        <w:t xml:space="preserve"> (1875-1950), qui avait été d’abord un disciple du Sar </w:t>
      </w:r>
      <w:proofErr w:type="spellStart"/>
      <w:r w:rsidRPr="006868F6">
        <w:rPr>
          <w:rFonts w:ascii="Garamond" w:eastAsia="Times New Roman" w:hAnsi="Garamond" w:cs="Segoe UI"/>
          <w:color w:val="3A3A3A"/>
          <w:sz w:val="28"/>
          <w:szCs w:val="28"/>
          <w:lang w:val="fr-FR" w:eastAsia="fr-FR"/>
        </w:rPr>
        <w:t>Peladan</w:t>
      </w:r>
      <w:proofErr w:type="spellEnd"/>
      <w:r w:rsidRPr="006868F6">
        <w:rPr>
          <w:rFonts w:ascii="Garamond" w:eastAsia="Times New Roman" w:hAnsi="Garamond" w:cs="Segoe UI"/>
          <w:color w:val="3A3A3A"/>
          <w:sz w:val="28"/>
          <w:szCs w:val="28"/>
          <w:lang w:val="fr-FR" w:eastAsia="fr-FR"/>
        </w:rPr>
        <w:t xml:space="preserve">, </w:t>
      </w:r>
      <w:r w:rsidR="00C41033" w:rsidRPr="006868F6">
        <w:rPr>
          <w:rFonts w:ascii="Garamond" w:eastAsia="Times New Roman" w:hAnsi="Garamond" w:cs="Segoe UI"/>
          <w:color w:val="3A3A3A"/>
          <w:sz w:val="28"/>
          <w:szCs w:val="28"/>
          <w:lang w:val="fr-FR" w:eastAsia="fr-FR"/>
        </w:rPr>
        <w:t>ancien</w:t>
      </w:r>
      <w:r w:rsidRPr="006868F6">
        <w:rPr>
          <w:rFonts w:ascii="Garamond" w:eastAsia="Times New Roman" w:hAnsi="Garamond" w:cs="Segoe UI"/>
          <w:color w:val="3A3A3A"/>
          <w:sz w:val="28"/>
          <w:szCs w:val="28"/>
          <w:lang w:val="fr-FR" w:eastAsia="fr-FR"/>
        </w:rPr>
        <w:t xml:space="preserve"> membre de l’Ordre Kabbalistique de la Rose-Croix.</w:t>
      </w:r>
    </w:p>
    <w:p w:rsidR="006868F6" w:rsidRDefault="006868F6" w:rsidP="00005877">
      <w:pPr>
        <w:spacing w:after="0" w:line="240" w:lineRule="auto"/>
        <w:jc w:val="both"/>
        <w:rPr>
          <w:rFonts w:ascii="Garamond" w:eastAsia="Times New Roman" w:hAnsi="Garamond" w:cs="Segoe UI"/>
          <w:i/>
          <w:iCs/>
          <w:color w:val="3A3A3A"/>
          <w:sz w:val="28"/>
          <w:szCs w:val="28"/>
          <w:bdr w:val="none" w:sz="0" w:space="0" w:color="auto" w:frame="1"/>
          <w:lang w:val="fr-FR" w:eastAsia="fr-FR"/>
        </w:rPr>
      </w:pPr>
      <w:r w:rsidRPr="006868F6">
        <w:rPr>
          <w:rFonts w:ascii="Garamond" w:eastAsia="Times New Roman" w:hAnsi="Garamond" w:cs="Segoe UI"/>
          <w:i/>
          <w:iCs/>
          <w:color w:val="3A3A3A"/>
          <w:sz w:val="28"/>
          <w:szCs w:val="28"/>
          <w:bdr w:val="none" w:sz="0" w:space="0" w:color="auto" w:frame="1"/>
          <w:lang w:val="fr-FR" w:eastAsia="fr-FR"/>
        </w:rPr>
        <w:t>(Cet article a été trouvé sur Internet. Il nous a semblé très bien fait et nous serons heureux de rajouter le crédit de celui qui l’a préparé dès que nous le connaîtrons. Qu’il soit remercié pour ce travail)</w:t>
      </w:r>
    </w:p>
    <w:p w:rsidR="00DF5ABC" w:rsidRPr="006868F6" w:rsidRDefault="00DF5ABC" w:rsidP="00005877">
      <w:pPr>
        <w:spacing w:after="0" w:line="240" w:lineRule="auto"/>
        <w:jc w:val="both"/>
        <w:rPr>
          <w:rFonts w:ascii="Garamond" w:eastAsia="Times New Roman" w:hAnsi="Garamond" w:cs="Segoe UI"/>
          <w:color w:val="3A3A3A"/>
          <w:sz w:val="28"/>
          <w:szCs w:val="28"/>
          <w:lang w:val="fr-FR" w:eastAsia="fr-FR"/>
        </w:rPr>
      </w:pPr>
    </w:p>
    <w:p w:rsidR="00C976EC" w:rsidRDefault="00DF5ABC" w:rsidP="00005877">
      <w:pPr>
        <w:spacing w:after="360" w:line="240" w:lineRule="auto"/>
        <w:jc w:val="both"/>
        <w:rPr>
          <w:rFonts w:ascii="Garamond" w:eastAsia="Times New Roman" w:hAnsi="Garamond" w:cs="Segoe UI"/>
          <w:color w:val="3A3A3A"/>
          <w:sz w:val="28"/>
          <w:szCs w:val="28"/>
          <w:lang w:val="fr-FR" w:eastAsia="fr-FR"/>
        </w:rPr>
      </w:pPr>
      <w:r w:rsidRPr="005162AF">
        <w:rPr>
          <w:rFonts w:ascii="Garamond" w:eastAsia="Times New Roman" w:hAnsi="Garamond" w:cs="Times New Roman"/>
          <w:b/>
          <w:bCs/>
          <w:kern w:val="36"/>
          <w:sz w:val="28"/>
          <w:szCs w:val="28"/>
          <w:lang w:val="fr-FR" w:eastAsia="fr-FR"/>
        </w:rPr>
        <w:t>Endroits remarquables</w:t>
      </w:r>
    </w:p>
    <w:p w:rsidR="006868F6" w:rsidRPr="006868F6" w:rsidRDefault="006868F6" w:rsidP="00005877">
      <w:pPr>
        <w:spacing w:after="0" w:line="240" w:lineRule="auto"/>
        <w:jc w:val="both"/>
        <w:rPr>
          <w:rFonts w:ascii="Garamond" w:eastAsia="Times New Roman" w:hAnsi="Garamond" w:cs="Segoe UI"/>
          <w:color w:val="3A3A3A"/>
          <w:sz w:val="28"/>
          <w:szCs w:val="28"/>
          <w:lang w:val="fr-FR" w:eastAsia="fr-FR"/>
        </w:rPr>
      </w:pPr>
      <w:r w:rsidRPr="006868F6">
        <w:rPr>
          <w:rFonts w:ascii="Garamond" w:eastAsia="Times New Roman" w:hAnsi="Garamond" w:cs="Segoe UI"/>
          <w:b/>
          <w:bCs/>
          <w:color w:val="3A3A3A"/>
          <w:sz w:val="28"/>
          <w:szCs w:val="28"/>
          <w:bdr w:val="none" w:sz="0" w:space="0" w:color="auto" w:frame="1"/>
          <w:lang w:val="fr-FR" w:eastAsia="fr-FR"/>
        </w:rPr>
        <w:t>Moyen-Orient </w:t>
      </w:r>
      <w:r w:rsidRPr="006868F6">
        <w:rPr>
          <w:rFonts w:ascii="Garamond" w:eastAsia="Times New Roman" w:hAnsi="Garamond" w:cs="Segoe UI"/>
          <w:color w:val="3A3A3A"/>
          <w:sz w:val="28"/>
          <w:szCs w:val="28"/>
          <w:lang w:val="fr-FR" w:eastAsia="fr-FR"/>
        </w:rPr>
        <w:t>(lieu de naissance de la religion juive)</w:t>
      </w:r>
    </w:p>
    <w:p w:rsidR="006868F6" w:rsidRPr="006868F6" w:rsidRDefault="006868F6" w:rsidP="00005877">
      <w:pPr>
        <w:spacing w:after="0" w:line="240" w:lineRule="auto"/>
        <w:jc w:val="both"/>
        <w:rPr>
          <w:rFonts w:ascii="Garamond" w:eastAsia="Times New Roman" w:hAnsi="Garamond" w:cs="Segoe UI"/>
          <w:color w:val="3A3A3A"/>
          <w:sz w:val="28"/>
          <w:szCs w:val="28"/>
          <w:lang w:val="fr-FR" w:eastAsia="fr-FR"/>
        </w:rPr>
      </w:pPr>
      <w:r w:rsidRPr="006868F6">
        <w:rPr>
          <w:rFonts w:ascii="Garamond" w:eastAsia="Times New Roman" w:hAnsi="Garamond" w:cs="Segoe UI"/>
          <w:b/>
          <w:bCs/>
          <w:color w:val="3A3A3A"/>
          <w:sz w:val="28"/>
          <w:szCs w:val="28"/>
          <w:bdr w:val="none" w:sz="0" w:space="0" w:color="auto" w:frame="1"/>
          <w:lang w:val="fr-FR" w:eastAsia="fr-FR"/>
        </w:rPr>
        <w:t>Espagne</w:t>
      </w:r>
      <w:r w:rsidRPr="006868F6">
        <w:rPr>
          <w:rFonts w:ascii="Garamond" w:eastAsia="Times New Roman" w:hAnsi="Garamond" w:cs="Segoe UI"/>
          <w:color w:val="3A3A3A"/>
          <w:sz w:val="28"/>
          <w:szCs w:val="28"/>
          <w:lang w:val="fr-FR" w:eastAsia="fr-FR"/>
        </w:rPr>
        <w:t> (13e siècle)</w:t>
      </w:r>
    </w:p>
    <w:p w:rsidR="006868F6" w:rsidRPr="006868F6" w:rsidRDefault="006868F6" w:rsidP="00005877">
      <w:pPr>
        <w:spacing w:after="0" w:line="240" w:lineRule="auto"/>
        <w:jc w:val="both"/>
        <w:rPr>
          <w:rFonts w:ascii="Garamond" w:eastAsia="Times New Roman" w:hAnsi="Garamond" w:cs="Segoe UI"/>
          <w:color w:val="3A3A3A"/>
          <w:sz w:val="28"/>
          <w:szCs w:val="28"/>
          <w:lang w:val="fr-FR" w:eastAsia="fr-FR"/>
        </w:rPr>
      </w:pPr>
      <w:r w:rsidRPr="006868F6">
        <w:rPr>
          <w:rFonts w:ascii="Garamond" w:eastAsia="Times New Roman" w:hAnsi="Garamond" w:cs="Segoe UI"/>
          <w:b/>
          <w:bCs/>
          <w:color w:val="3A3A3A"/>
          <w:sz w:val="28"/>
          <w:szCs w:val="28"/>
          <w:bdr w:val="none" w:sz="0" w:space="0" w:color="auto" w:frame="1"/>
          <w:lang w:val="fr-FR" w:eastAsia="fr-FR"/>
        </w:rPr>
        <w:t>Sud de la France</w:t>
      </w:r>
      <w:r w:rsidRPr="006868F6">
        <w:rPr>
          <w:rFonts w:ascii="Garamond" w:eastAsia="Times New Roman" w:hAnsi="Garamond" w:cs="Segoe UI"/>
          <w:color w:val="3A3A3A"/>
          <w:sz w:val="28"/>
          <w:szCs w:val="28"/>
          <w:lang w:val="fr-FR" w:eastAsia="fr-FR"/>
        </w:rPr>
        <w:t> comme lieu de naissance de la Kabbale juive et lieu de naissance de divers degrés ésotériques de la franc-maçonnerie et de la Tradition Rose-Croix.</w:t>
      </w:r>
    </w:p>
    <w:p w:rsidR="006868F6" w:rsidRPr="006868F6" w:rsidRDefault="006868F6" w:rsidP="00005877">
      <w:pPr>
        <w:spacing w:after="0" w:line="240" w:lineRule="auto"/>
        <w:jc w:val="both"/>
        <w:rPr>
          <w:rFonts w:ascii="Garamond" w:eastAsia="Times New Roman" w:hAnsi="Garamond" w:cs="Segoe UI"/>
          <w:color w:val="3A3A3A"/>
          <w:sz w:val="28"/>
          <w:szCs w:val="28"/>
          <w:lang w:val="fr-FR" w:eastAsia="fr-FR"/>
        </w:rPr>
      </w:pPr>
      <w:r w:rsidRPr="006868F6">
        <w:rPr>
          <w:rFonts w:ascii="Garamond" w:eastAsia="Times New Roman" w:hAnsi="Garamond" w:cs="Segoe UI"/>
          <w:b/>
          <w:bCs/>
          <w:color w:val="3A3A3A"/>
          <w:sz w:val="28"/>
          <w:szCs w:val="28"/>
          <w:bdr w:val="none" w:sz="0" w:space="0" w:color="auto" w:frame="1"/>
          <w:lang w:val="fr-FR" w:eastAsia="fr-FR"/>
        </w:rPr>
        <w:t>Italie</w:t>
      </w:r>
      <w:r w:rsidRPr="006868F6">
        <w:rPr>
          <w:rFonts w:ascii="Garamond" w:eastAsia="Times New Roman" w:hAnsi="Garamond" w:cs="Segoe UI"/>
          <w:color w:val="3A3A3A"/>
          <w:sz w:val="28"/>
          <w:szCs w:val="28"/>
          <w:lang w:val="fr-FR" w:eastAsia="fr-FR"/>
        </w:rPr>
        <w:t>, dans la région de Toscane (15e siècle) comme le lieu de naissance de la Kabbale chrétienne.</w:t>
      </w:r>
    </w:p>
    <w:p w:rsidR="00C976EC" w:rsidRDefault="006868F6" w:rsidP="00EA55F9">
      <w:pPr>
        <w:spacing w:after="0" w:line="240" w:lineRule="auto"/>
        <w:jc w:val="both"/>
        <w:rPr>
          <w:rFonts w:ascii="Garamond" w:eastAsia="Times New Roman" w:hAnsi="Garamond" w:cs="Segoe UI"/>
          <w:color w:val="3A3A3A"/>
          <w:sz w:val="28"/>
          <w:szCs w:val="28"/>
          <w:lang w:val="fr-FR" w:eastAsia="fr-FR"/>
        </w:rPr>
      </w:pPr>
      <w:r w:rsidRPr="006868F6">
        <w:rPr>
          <w:rFonts w:ascii="Garamond" w:eastAsia="Times New Roman" w:hAnsi="Garamond" w:cs="Segoe UI"/>
          <w:b/>
          <w:bCs/>
          <w:color w:val="3A3A3A"/>
          <w:sz w:val="28"/>
          <w:szCs w:val="28"/>
          <w:bdr w:val="none" w:sz="0" w:space="0" w:color="auto" w:frame="1"/>
          <w:lang w:val="fr-FR" w:eastAsia="fr-FR"/>
        </w:rPr>
        <w:t>France</w:t>
      </w:r>
      <w:r w:rsidRPr="006868F6">
        <w:rPr>
          <w:rFonts w:ascii="Garamond" w:eastAsia="Times New Roman" w:hAnsi="Garamond" w:cs="Segoe UI"/>
          <w:color w:val="3A3A3A"/>
          <w:sz w:val="28"/>
          <w:szCs w:val="28"/>
          <w:lang w:val="fr-FR" w:eastAsia="fr-FR"/>
        </w:rPr>
        <w:t> (19e siècle) comme le lieu de naissance de la Kabbale magique moderne.</w:t>
      </w:r>
    </w:p>
    <w:p w:rsidR="00EA55F9" w:rsidRDefault="00EA55F9" w:rsidP="00EA55F9">
      <w:pPr>
        <w:spacing w:after="0" w:line="240" w:lineRule="auto"/>
        <w:jc w:val="both"/>
        <w:rPr>
          <w:rFonts w:ascii="Garamond" w:eastAsia="Times New Roman" w:hAnsi="Garamond" w:cs="Segoe UI"/>
          <w:color w:val="3A3A3A"/>
          <w:sz w:val="28"/>
          <w:szCs w:val="28"/>
          <w:lang w:val="fr-FR" w:eastAsia="fr-FR"/>
        </w:rPr>
      </w:pPr>
    </w:p>
    <w:p w:rsidR="00C976EC" w:rsidRDefault="002915F5" w:rsidP="005162AF">
      <w:pPr>
        <w:spacing w:after="0" w:line="288" w:lineRule="atLeast"/>
        <w:jc w:val="both"/>
        <w:outlineLvl w:val="0"/>
        <w:rPr>
          <w:rFonts w:ascii="Garamond" w:eastAsia="Times New Roman" w:hAnsi="Garamond" w:cs="Times New Roman"/>
          <w:b/>
          <w:bCs/>
          <w:kern w:val="36"/>
          <w:sz w:val="28"/>
          <w:szCs w:val="28"/>
          <w:lang w:val="fr-FR" w:eastAsia="fr-FR"/>
        </w:rPr>
      </w:pPr>
      <w:r w:rsidRPr="005162AF">
        <w:rPr>
          <w:rFonts w:ascii="Garamond" w:eastAsia="Times New Roman" w:hAnsi="Garamond" w:cs="Times New Roman"/>
          <w:b/>
          <w:bCs/>
          <w:kern w:val="36"/>
          <w:sz w:val="28"/>
          <w:szCs w:val="28"/>
          <w:lang w:val="fr-FR" w:eastAsia="fr-FR"/>
        </w:rPr>
        <w:lastRenderedPageBreak/>
        <w:t>Principes : Kabbale et Kabbales</w:t>
      </w:r>
    </w:p>
    <w:p w:rsidR="005162AF" w:rsidRPr="005162AF" w:rsidRDefault="005162AF" w:rsidP="005162AF">
      <w:pPr>
        <w:spacing w:after="0" w:line="288" w:lineRule="atLeast"/>
        <w:jc w:val="both"/>
        <w:outlineLvl w:val="0"/>
        <w:rPr>
          <w:rFonts w:ascii="Garamond" w:eastAsia="Times New Roman" w:hAnsi="Garamond" w:cs="Times New Roman"/>
          <w:b/>
          <w:bCs/>
          <w:kern w:val="36"/>
          <w:sz w:val="28"/>
          <w:szCs w:val="28"/>
          <w:lang w:val="fr-FR" w:eastAsia="fr-FR"/>
        </w:rPr>
      </w:pPr>
    </w:p>
    <w:p w:rsidR="002915F5" w:rsidRPr="002915F5" w:rsidRDefault="002915F5" w:rsidP="00005877">
      <w:pPr>
        <w:spacing w:after="360" w:line="240" w:lineRule="auto"/>
        <w:jc w:val="both"/>
        <w:rPr>
          <w:rFonts w:ascii="Garamond" w:eastAsia="Times New Roman" w:hAnsi="Garamond" w:cs="Segoe UI"/>
          <w:color w:val="3A3A3A"/>
          <w:sz w:val="28"/>
          <w:szCs w:val="28"/>
          <w:lang w:val="fr-FR" w:eastAsia="fr-FR"/>
        </w:rPr>
      </w:pPr>
      <w:r w:rsidRPr="002915F5">
        <w:rPr>
          <w:rFonts w:ascii="Garamond" w:eastAsia="Times New Roman" w:hAnsi="Garamond" w:cs="Segoe UI"/>
          <w:color w:val="3A3A3A"/>
          <w:sz w:val="28"/>
          <w:szCs w:val="28"/>
          <w:lang w:val="fr-FR" w:eastAsia="fr-FR"/>
        </w:rPr>
        <w:t>Comme nous le disions au début, la Kabbale est une carte. En tant que telle, certains de ses symboles et techniques peuvent être utiles. C’est par exemple le cas pour l’Arbre kabbalistique et les quatre mondes. Par conséquent lorsque ces principes sont appliqués à d’autres traditions, nous pouvons parler de « Kabbale hermétique », « Kabbale chrétienne », ou de « Kabbale grecque ».</w:t>
      </w:r>
    </w:p>
    <w:p w:rsidR="002915F5" w:rsidRPr="002915F5" w:rsidRDefault="002915F5" w:rsidP="00005877">
      <w:pPr>
        <w:spacing w:after="360" w:line="240" w:lineRule="auto"/>
        <w:jc w:val="both"/>
        <w:rPr>
          <w:rFonts w:ascii="Garamond" w:eastAsia="Times New Roman" w:hAnsi="Garamond" w:cs="Segoe UI"/>
          <w:color w:val="3A3A3A"/>
          <w:sz w:val="28"/>
          <w:szCs w:val="28"/>
          <w:lang w:val="fr-FR" w:eastAsia="fr-FR"/>
        </w:rPr>
      </w:pPr>
      <w:r w:rsidRPr="002915F5">
        <w:rPr>
          <w:rFonts w:ascii="Garamond" w:eastAsia="Times New Roman" w:hAnsi="Garamond" w:cs="Segoe UI"/>
          <w:color w:val="3A3A3A"/>
          <w:sz w:val="28"/>
          <w:szCs w:val="28"/>
          <w:lang w:val="fr-FR" w:eastAsia="fr-FR"/>
        </w:rPr>
        <w:t>Plusieurs principes de la Kabbale ont également été associés à diverses traditions initiatiques telles que la franc-maçonnerie.</w:t>
      </w:r>
    </w:p>
    <w:p w:rsidR="002915F5" w:rsidRPr="002915F5" w:rsidRDefault="002915F5" w:rsidP="00005877">
      <w:pPr>
        <w:spacing w:after="0" w:line="240" w:lineRule="auto"/>
        <w:jc w:val="both"/>
        <w:rPr>
          <w:rFonts w:ascii="Garamond" w:eastAsia="Times New Roman" w:hAnsi="Garamond" w:cs="Segoe UI"/>
          <w:color w:val="3A3A3A"/>
          <w:sz w:val="28"/>
          <w:szCs w:val="28"/>
          <w:lang w:val="fr-FR" w:eastAsia="fr-FR"/>
        </w:rPr>
      </w:pPr>
      <w:r w:rsidRPr="002915F5">
        <w:rPr>
          <w:rFonts w:ascii="Garamond" w:eastAsia="Times New Roman" w:hAnsi="Garamond" w:cs="Segoe UI"/>
          <w:b/>
          <w:bCs/>
          <w:color w:val="3A3A3A"/>
          <w:sz w:val="28"/>
          <w:szCs w:val="28"/>
          <w:bdr w:val="none" w:sz="0" w:space="0" w:color="auto" w:frame="1"/>
          <w:lang w:val="fr-FR" w:eastAsia="fr-FR"/>
        </w:rPr>
        <w:t>Cependant la Kabbale reste connectée à la tradition biblique et représente une partie spécifique de la tradition occidentale</w:t>
      </w:r>
      <w:r w:rsidRPr="002915F5">
        <w:rPr>
          <w:rFonts w:ascii="Garamond" w:eastAsia="Times New Roman" w:hAnsi="Garamond" w:cs="Segoe UI"/>
          <w:color w:val="3A3A3A"/>
          <w:sz w:val="28"/>
          <w:szCs w:val="28"/>
          <w:lang w:val="fr-FR" w:eastAsia="fr-FR"/>
        </w:rPr>
        <w:t>.</w:t>
      </w:r>
    </w:p>
    <w:p w:rsidR="002915F5" w:rsidRPr="002915F5" w:rsidRDefault="002915F5" w:rsidP="00005877">
      <w:pPr>
        <w:spacing w:after="0" w:line="240" w:lineRule="auto"/>
        <w:jc w:val="both"/>
        <w:rPr>
          <w:rFonts w:ascii="Garamond" w:eastAsia="Times New Roman" w:hAnsi="Garamond" w:cs="Segoe UI"/>
          <w:color w:val="3A3A3A"/>
          <w:sz w:val="28"/>
          <w:szCs w:val="28"/>
          <w:lang w:val="fr-FR" w:eastAsia="fr-FR"/>
        </w:rPr>
      </w:pPr>
      <w:r w:rsidRPr="002915F5">
        <w:rPr>
          <w:rFonts w:ascii="Garamond" w:eastAsia="Times New Roman" w:hAnsi="Garamond" w:cs="Segoe UI"/>
          <w:b/>
          <w:bCs/>
          <w:color w:val="3A3A3A"/>
          <w:sz w:val="28"/>
          <w:szCs w:val="28"/>
          <w:bdr w:val="none" w:sz="0" w:space="0" w:color="auto" w:frame="1"/>
          <w:lang w:val="fr-FR" w:eastAsia="fr-FR"/>
        </w:rPr>
        <w:t xml:space="preserve">Essayer d’utiliser la </w:t>
      </w:r>
      <w:proofErr w:type="spellStart"/>
      <w:r w:rsidRPr="002915F5">
        <w:rPr>
          <w:rFonts w:ascii="Garamond" w:eastAsia="Times New Roman" w:hAnsi="Garamond" w:cs="Segoe UI"/>
          <w:b/>
          <w:bCs/>
          <w:color w:val="3A3A3A"/>
          <w:sz w:val="28"/>
          <w:szCs w:val="28"/>
          <w:bdr w:val="none" w:sz="0" w:space="0" w:color="auto" w:frame="1"/>
          <w:lang w:val="fr-FR" w:eastAsia="fr-FR"/>
        </w:rPr>
        <w:t>Qabalah</w:t>
      </w:r>
      <w:proofErr w:type="spellEnd"/>
      <w:r w:rsidRPr="002915F5">
        <w:rPr>
          <w:rFonts w:ascii="Garamond" w:eastAsia="Times New Roman" w:hAnsi="Garamond" w:cs="Segoe UI"/>
          <w:b/>
          <w:bCs/>
          <w:color w:val="3A3A3A"/>
          <w:sz w:val="28"/>
          <w:szCs w:val="28"/>
          <w:bdr w:val="none" w:sz="0" w:space="0" w:color="auto" w:frame="1"/>
          <w:lang w:val="fr-FR" w:eastAsia="fr-FR"/>
        </w:rPr>
        <w:t xml:space="preserve"> hors contexte entraîne des contradictions rarement discutées. Cependant, ce sont des problèmes fondamentaux lorsque vous voulez pratiquer la théurgie, l’hermétisme, la wicca, le paganisme, etc. C’est pourquoi il est important de considérer certaines de ces questions.</w:t>
      </w:r>
    </w:p>
    <w:p w:rsidR="002915F5" w:rsidRPr="002915F5" w:rsidRDefault="002915F5" w:rsidP="00005877">
      <w:pPr>
        <w:spacing w:after="360" w:line="240" w:lineRule="auto"/>
        <w:jc w:val="both"/>
        <w:rPr>
          <w:rFonts w:ascii="Garamond" w:eastAsia="Times New Roman" w:hAnsi="Garamond" w:cs="Segoe UI"/>
          <w:color w:val="3A3A3A"/>
          <w:sz w:val="28"/>
          <w:szCs w:val="28"/>
          <w:lang w:val="fr-FR" w:eastAsia="fr-FR"/>
        </w:rPr>
      </w:pPr>
      <w:r w:rsidRPr="002915F5">
        <w:rPr>
          <w:rFonts w:ascii="Garamond" w:eastAsia="Times New Roman" w:hAnsi="Garamond" w:cs="Segoe UI"/>
          <w:color w:val="3A3A3A"/>
          <w:sz w:val="28"/>
          <w:szCs w:val="28"/>
          <w:lang w:val="fr-FR" w:eastAsia="fr-FR"/>
        </w:rPr>
        <w:t xml:space="preserve"> Il existe plusieurs façons de pratiquer la kabbale chrétienne ou ce que nous avons commencé à appeler la kabbale hermétiste. En réalité cela se définit davantage par une façon d’approcher la théorie et la pratique, que par un contenu spécifique. C’est pour cette raison que nous devrions plutôt </w:t>
      </w:r>
      <w:r w:rsidRPr="002915F5">
        <w:rPr>
          <w:rFonts w:ascii="Garamond" w:eastAsia="Times New Roman" w:hAnsi="Garamond" w:cs="Segoe UI"/>
          <w:color w:val="3A3A3A"/>
          <w:sz w:val="28"/>
          <w:szCs w:val="28"/>
          <w:lang w:val="fr-FR" w:eastAsia="fr-FR"/>
        </w:rPr>
        <w:lastRenderedPageBreak/>
        <w:t>parler d’une façon hermétiste d’aborder la kabbale chrétienne, que d’une forme particulière de cette dernière.</w:t>
      </w:r>
    </w:p>
    <w:p w:rsidR="002915F5" w:rsidRPr="002915F5" w:rsidRDefault="002915F5" w:rsidP="00005877">
      <w:pPr>
        <w:spacing w:after="360" w:line="240" w:lineRule="auto"/>
        <w:jc w:val="both"/>
        <w:rPr>
          <w:rFonts w:ascii="Garamond" w:eastAsia="Times New Roman" w:hAnsi="Garamond" w:cs="Segoe UI"/>
          <w:color w:val="3A3A3A"/>
          <w:sz w:val="28"/>
          <w:szCs w:val="28"/>
          <w:lang w:val="fr-FR" w:eastAsia="fr-FR"/>
        </w:rPr>
      </w:pPr>
      <w:r w:rsidRPr="002915F5">
        <w:rPr>
          <w:rFonts w:ascii="Garamond" w:eastAsia="Times New Roman" w:hAnsi="Garamond" w:cs="Segoe UI"/>
          <w:color w:val="3A3A3A"/>
          <w:sz w:val="28"/>
          <w:szCs w:val="28"/>
          <w:lang w:val="fr-FR" w:eastAsia="fr-FR"/>
        </w:rPr>
        <w:t>Nous avons vu précédemment qu’il y avait plusieurs aspects dans cette tradition. Nous ne sommes pas face à un ensemble monolithique, même s’il y a des constantes assez aisément repérables. Nous allons établir une distinction entre les pratiques mystiques et les approches théurgiques bien que cela ne soit pas toujours aussi évident que l’on souhaiterait.</w:t>
      </w:r>
    </w:p>
    <w:p w:rsidR="002915F5" w:rsidRPr="002915F5" w:rsidRDefault="002915F5" w:rsidP="00005877">
      <w:pPr>
        <w:spacing w:after="360" w:line="240" w:lineRule="auto"/>
        <w:jc w:val="both"/>
        <w:rPr>
          <w:rFonts w:ascii="Garamond" w:eastAsia="Times New Roman" w:hAnsi="Garamond" w:cs="Segoe UI"/>
          <w:color w:val="3A3A3A"/>
          <w:sz w:val="28"/>
          <w:szCs w:val="28"/>
          <w:lang w:val="fr-FR" w:eastAsia="fr-FR"/>
        </w:rPr>
      </w:pPr>
      <w:r w:rsidRPr="002915F5">
        <w:rPr>
          <w:rFonts w:ascii="Garamond" w:eastAsia="Times New Roman" w:hAnsi="Garamond" w:cs="Segoe UI"/>
          <w:color w:val="3A3A3A"/>
          <w:sz w:val="28"/>
          <w:szCs w:val="28"/>
          <w:lang w:val="fr-FR" w:eastAsia="fr-FR"/>
        </w:rPr>
        <w:t xml:space="preserve">Nous avons maintenant bien compris que le mysticisme est une pratique intérieure et individuelle d’union avec le divin. Lorsque nous parlons de religion, la pratique est encadrée par un ensemble de doctrines et de dogmes qui échappent à la liberté individuelle d’interprétation. Dans le christianisme, à l’exception peut-être des traditions découlant des réformateurs (protestantisme, etc.), les vérités révélées sont expliquées et formulées de façon définitive par l’Église. Le fidèle ou croyant n’a pas à exercer son esprit critique ou son libre arbitre. Il existe en effet des intermédiaires entre lui et Dieu : l’Église et son clergé. La vérité fut donc révélée dès l’origine et manifestée par le sacrifice et la résurrection du Christ. Cet épisode historico-mythique est la clé de voûte du christianisme. Tous les rites, qu’ils soient collectifs ou individuels, reposent sur le credo. N’oublions pas ce que nous avons eu l’occasion de dire, c’est-à-dire que ces vérités faisaient pleinement parties de la nature des kabbalistes chrétiens antérieurs au 18ème siècle. Ils étaient nés dans cette culture et elle leur semblait aussi évidente que le sol qu’ils </w:t>
      </w:r>
      <w:r w:rsidRPr="002915F5">
        <w:rPr>
          <w:rFonts w:ascii="Garamond" w:eastAsia="Times New Roman" w:hAnsi="Garamond" w:cs="Segoe UI"/>
          <w:color w:val="3A3A3A"/>
          <w:sz w:val="28"/>
          <w:szCs w:val="28"/>
          <w:lang w:val="fr-FR" w:eastAsia="fr-FR"/>
        </w:rPr>
        <w:lastRenderedPageBreak/>
        <w:t xml:space="preserve">foulaient. Il nous est aujourd’hui plus facile de nous mettre à distance de ces dogmes, d’en discuter et de faire intervenir notre raisonnement. A cette époque-là, c’était quelque chose de relativement difficile. Ceux qui œuvrèrent, transcendèrent cette culture, mais ne la rejetèrent pas. Elle continua à faire partie d’eux. Leur approche hermétiste fut plus intégrante qu’exclusive. Elle fut enrichie par les apports culturels et cultuels qu’ils redécouvrirent dans leurs études et pratiques. Cette synthèse élargie des traditions antiques, ne fut pas une négation du christianisme lui-même. Elle apparut comme une appropriation de celui-ci et une adaptation à l’ouverture de ce monde intérieur en train de s’effectuer. On ne peut pas nier que leur foi fut toujours aussi grande tout au long de leur vie, même si elle fut souvent bien différente de celle que prônait l’Église. La perception de cette transcendance fut toujours présente et la réalisation de notre nature humaine également. Humain trop humain dira bien plus tard Nietzsche, dans un autre contexte. N’oublions pas que la foi pouvait suffire au fidèle dans l’accès au salut et à la vie éternelle. « Crois et tu seras sauvé » nous rappelle l’Évangile tout au long de son message. Il en est de même dans lorsque Jésus apparaît à Pierre sur le lac de Tibériade et lui demande de le rejoindre en marchant sur les flots. Loin de nous l’idée de critiquer celui ou celle qui vivrait de façon harmonieuse et tolérante cette foi. Mais nous ne </w:t>
      </w:r>
      <w:r w:rsidR="00ED304B" w:rsidRPr="002915F5">
        <w:rPr>
          <w:rFonts w:ascii="Garamond" w:eastAsia="Times New Roman" w:hAnsi="Garamond" w:cs="Segoe UI"/>
          <w:color w:val="3A3A3A"/>
          <w:sz w:val="28"/>
          <w:szCs w:val="28"/>
          <w:lang w:val="fr-FR" w:eastAsia="fr-FR"/>
        </w:rPr>
        <w:t>pouvons-nous</w:t>
      </w:r>
      <w:r w:rsidRPr="002915F5">
        <w:rPr>
          <w:rFonts w:ascii="Garamond" w:eastAsia="Times New Roman" w:hAnsi="Garamond" w:cs="Segoe UI"/>
          <w:color w:val="3A3A3A"/>
          <w:sz w:val="28"/>
          <w:szCs w:val="28"/>
          <w:lang w:val="fr-FR" w:eastAsia="fr-FR"/>
        </w:rPr>
        <w:t xml:space="preserve"> empêcher de remarquer que cette forme de foi, se retrouvant d’ailleurs dans d’autres religions monothéistes, est à l’origine de bien des abus menant à l’intolérance et l’extrémisme. A partir du moment où une foi s’affirme sans s’appuyer sur un esprit </w:t>
      </w:r>
      <w:r w:rsidRPr="002915F5">
        <w:rPr>
          <w:rFonts w:ascii="Garamond" w:eastAsia="Times New Roman" w:hAnsi="Garamond" w:cs="Segoe UI"/>
          <w:color w:val="3A3A3A"/>
          <w:sz w:val="28"/>
          <w:szCs w:val="28"/>
          <w:lang w:val="fr-FR" w:eastAsia="fr-FR"/>
        </w:rPr>
        <w:lastRenderedPageBreak/>
        <w:t>critique et libre, il est bien courant que le fidèle et encore plus le religieux, passent de la sensation de vivre une vérité intérieure, à la certitude de posséder la vérité unique et indiscutable. On imagine sans peine les conséquences. L’histoire des hommes est constamment là pour nous le rappeler. On pourrait trouver tous les arguments possibles, il n’en reste pas moins que cette certitude de posséder la seule vérité valable pour tous les hommes est un écueil de l’orgueil et un obstacle sur la voie nous conduisant vers le divin.</w:t>
      </w:r>
    </w:p>
    <w:p w:rsidR="002915F5" w:rsidRPr="002915F5" w:rsidRDefault="002915F5" w:rsidP="00005877">
      <w:pPr>
        <w:spacing w:after="360" w:line="240" w:lineRule="auto"/>
        <w:jc w:val="both"/>
        <w:rPr>
          <w:rFonts w:ascii="Garamond" w:eastAsia="Times New Roman" w:hAnsi="Garamond" w:cs="Segoe UI"/>
          <w:color w:val="3A3A3A"/>
          <w:sz w:val="28"/>
          <w:szCs w:val="28"/>
          <w:lang w:val="fr-FR" w:eastAsia="fr-FR"/>
        </w:rPr>
      </w:pPr>
      <w:r w:rsidRPr="002915F5">
        <w:rPr>
          <w:rFonts w:ascii="Garamond" w:eastAsia="Times New Roman" w:hAnsi="Garamond" w:cs="Segoe UI"/>
          <w:color w:val="3A3A3A"/>
          <w:sz w:val="28"/>
          <w:szCs w:val="28"/>
          <w:lang w:val="fr-FR" w:eastAsia="fr-FR"/>
        </w:rPr>
        <w:t xml:space="preserve">Ce qui peut nous induire en erreur est le fait que la tradition chrétienne, pour ne parler que d’elle, possède des connaissances et des pratiques tout à fait authentiques et efficaces. Ceux qui les fondèrent et les composèrent étaient souvent des êtres de grande valeur. Ils ont souvent puisé dans les traditions philosophiques et les pratiques rituelles de l’antiquité, quitte à les déformer et les transformer lors de leur appropriation. L’égrégore de l’Église, et encore plus de la tradition chrétienne, est extrêmement puissante. Baptisé chrétien nous avons été connectés à cette égrégore. Mais nous pouvons nous en éloigner et même d’une certaine façon en être déconnectés lorsque nos pratiques, nos croyances et notre vie intérieure s’en sont éloignées. Il n’en reste pas moins que notre culture et souvent notre enfance </w:t>
      </w:r>
      <w:proofErr w:type="gramStart"/>
      <w:r w:rsidRPr="002915F5">
        <w:rPr>
          <w:rFonts w:ascii="Garamond" w:eastAsia="Times New Roman" w:hAnsi="Garamond" w:cs="Segoe UI"/>
          <w:color w:val="3A3A3A"/>
          <w:sz w:val="28"/>
          <w:szCs w:val="28"/>
          <w:lang w:val="fr-FR" w:eastAsia="fr-FR"/>
        </w:rPr>
        <w:t>ont</w:t>
      </w:r>
      <w:proofErr w:type="gramEnd"/>
      <w:r w:rsidRPr="002915F5">
        <w:rPr>
          <w:rFonts w:ascii="Garamond" w:eastAsia="Times New Roman" w:hAnsi="Garamond" w:cs="Segoe UI"/>
          <w:color w:val="3A3A3A"/>
          <w:sz w:val="28"/>
          <w:szCs w:val="28"/>
          <w:lang w:val="fr-FR" w:eastAsia="fr-FR"/>
        </w:rPr>
        <w:t xml:space="preserve"> laissé en nous et en notre inconscient des traces profondes qui ne demandent qu’à se réveiller. L’égrégore d’une religion agit comme une entité à part entière. Elle cherche tout d’abord à ne pas disparaître et ensuite à </w:t>
      </w:r>
      <w:r w:rsidRPr="002915F5">
        <w:rPr>
          <w:rFonts w:ascii="Garamond" w:eastAsia="Times New Roman" w:hAnsi="Garamond" w:cs="Segoe UI"/>
          <w:color w:val="3A3A3A"/>
          <w:sz w:val="28"/>
          <w:szCs w:val="28"/>
          <w:lang w:val="fr-FR" w:eastAsia="fr-FR"/>
        </w:rPr>
        <w:lastRenderedPageBreak/>
        <w:t>accroître sa puissance. Les conceptions rituelles de l’Église sont fondées sur ce principe et l’alimentent sans cesse par les prières et les rites des fidèles. Le rite, dont nous parlerons plus en détail, donne une grande puissance à cette assemblée des fidèles. N’oublions pas que l’Église est le lieu dans lequel sont célébrés les mystères du christianisme, mais également l’assemblée des fidèles.</w:t>
      </w:r>
    </w:p>
    <w:p w:rsidR="002915F5" w:rsidRPr="00C976EC" w:rsidRDefault="002915F5" w:rsidP="00005877">
      <w:pPr>
        <w:spacing w:after="360" w:line="240" w:lineRule="auto"/>
        <w:jc w:val="both"/>
        <w:rPr>
          <w:rFonts w:ascii="Garamond" w:eastAsia="Times New Roman" w:hAnsi="Garamond" w:cs="Segoe UI"/>
          <w:color w:val="3A3A3A"/>
          <w:sz w:val="28"/>
          <w:szCs w:val="28"/>
          <w:lang w:val="fr-FR" w:eastAsia="fr-FR"/>
        </w:rPr>
      </w:pPr>
    </w:p>
    <w:p w:rsidR="00824853" w:rsidRPr="006868F6" w:rsidRDefault="00824853" w:rsidP="00005877">
      <w:pPr>
        <w:spacing w:after="360" w:line="240" w:lineRule="auto"/>
        <w:jc w:val="both"/>
        <w:rPr>
          <w:rFonts w:ascii="Garamond" w:eastAsia="Times New Roman" w:hAnsi="Garamond" w:cs="Segoe UI"/>
          <w:color w:val="3A3A3A"/>
          <w:sz w:val="28"/>
          <w:szCs w:val="28"/>
          <w:lang w:val="fr-FR" w:eastAsia="fr-FR"/>
        </w:rPr>
      </w:pPr>
    </w:p>
    <w:sectPr w:rsidR="00824853" w:rsidRPr="006868F6" w:rsidSect="00824853">
      <w:headerReference w:type="default" r:id="rId9"/>
      <w:footerReference w:type="default" r:id="rId10"/>
      <w:pgSz w:w="7920" w:h="12240" w:orient="landscape" w:code="1"/>
      <w:pgMar w:top="1440" w:right="720" w:bottom="144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E4D" w:rsidRDefault="006F3E4D" w:rsidP="00ED304B">
      <w:pPr>
        <w:spacing w:after="0" w:line="240" w:lineRule="auto"/>
      </w:pPr>
      <w:r>
        <w:separator/>
      </w:r>
    </w:p>
  </w:endnote>
  <w:endnote w:type="continuationSeparator" w:id="0">
    <w:p w:rsidR="006F3E4D" w:rsidRDefault="006F3E4D" w:rsidP="00ED3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1888067"/>
      <w:docPartObj>
        <w:docPartGallery w:val="Page Numbers (Bottom of Page)"/>
        <w:docPartUnique/>
      </w:docPartObj>
    </w:sdtPr>
    <w:sdtContent>
      <w:p w:rsidR="00ED304B" w:rsidRDefault="005E55E4">
        <w:pPr>
          <w:pStyle w:val="Pieddepage"/>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simplePos x="0" y="0"/>
                  <wp:positionH relativeFrom="rightMargin">
                    <wp:align>center</wp:align>
                  </wp:positionH>
                  <wp:positionV relativeFrom="bottomMargin">
                    <wp:align>center</wp:align>
                  </wp:positionV>
                  <wp:extent cx="512445" cy="441325"/>
                  <wp:effectExtent l="0" t="0" r="1905" b="0"/>
                  <wp:wrapNone/>
                  <wp:docPr id="4" name="Organigramme : Alternativ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5E55E4" w:rsidRDefault="005E55E4">
                              <w:pPr>
                                <w:pStyle w:val="Pieddepage"/>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sidR="00E83EF8" w:rsidRPr="00E83EF8">
                                <w:rPr>
                                  <w:noProof/>
                                  <w:sz w:val="28"/>
                                  <w:szCs w:val="28"/>
                                  <w:lang w:val="fr-FR"/>
                                </w:rPr>
                                <w:t>22</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4" o:spid="_x0000_s1026" type="#_x0000_t176" style="position:absolute;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" filled="f" fillcolor="#5c83b4" stroked="f" strokecolor="#737373">
                  <v:textbox>
                    <w:txbxContent>
                      <w:p w:rsidR="005E55E4" w:rsidRDefault="005E55E4">
                        <w:pPr>
                          <w:pStyle w:val="Pieddepage"/>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sidR="00E83EF8" w:rsidRPr="00E83EF8">
                          <w:rPr>
                            <w:noProof/>
                            <w:sz w:val="28"/>
                            <w:szCs w:val="28"/>
                            <w:lang w:val="fr-FR"/>
                          </w:rPr>
                          <w:t>22</w:t>
                        </w:r>
                        <w:r>
                          <w:rPr>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E4D" w:rsidRDefault="006F3E4D" w:rsidP="00ED304B">
      <w:pPr>
        <w:spacing w:after="0" w:line="240" w:lineRule="auto"/>
      </w:pPr>
      <w:r>
        <w:separator/>
      </w:r>
    </w:p>
  </w:footnote>
  <w:footnote w:type="continuationSeparator" w:id="0">
    <w:p w:rsidR="006F3E4D" w:rsidRDefault="006F3E4D" w:rsidP="00ED30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04B" w:rsidRPr="00ED304B" w:rsidRDefault="00ED304B">
    <w:pPr>
      <w:pStyle w:val="En-tte"/>
      <w:rPr>
        <w:lang w:val="fr-FR"/>
      </w:rPr>
    </w:pPr>
    <w:r w:rsidRPr="00ED304B">
      <w:rPr>
        <w:lang w:val="fr-FR"/>
      </w:rPr>
      <w:t xml:space="preserve">L’histoire de la Kabbale </w:t>
    </w:r>
    <w:r>
      <w:rPr>
        <w:lang w:val="fr-FR"/>
      </w:rPr>
      <w:t>à</w:t>
    </w:r>
    <w:r w:rsidRPr="00ED304B">
      <w:rPr>
        <w:lang w:val="fr-FR"/>
      </w:rPr>
      <w:t xml:space="preserve"> t</w:t>
    </w:r>
    <w:r>
      <w:rPr>
        <w:lang w:val="fr-FR"/>
      </w:rPr>
      <w:t>ravers le temps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041B1E"/>
    <w:multiLevelType w:val="hybridMultilevel"/>
    <w:tmpl w:val="5FE431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bookFoldPrint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853"/>
    <w:rsid w:val="00000127"/>
    <w:rsid w:val="00005877"/>
    <w:rsid w:val="00011450"/>
    <w:rsid w:val="0003604A"/>
    <w:rsid w:val="00115F8B"/>
    <w:rsid w:val="00117A37"/>
    <w:rsid w:val="001A038D"/>
    <w:rsid w:val="002915F5"/>
    <w:rsid w:val="002D59FC"/>
    <w:rsid w:val="002F3587"/>
    <w:rsid w:val="00395A47"/>
    <w:rsid w:val="003F33A1"/>
    <w:rsid w:val="00460B09"/>
    <w:rsid w:val="005162AF"/>
    <w:rsid w:val="005E55E4"/>
    <w:rsid w:val="00636065"/>
    <w:rsid w:val="006868F6"/>
    <w:rsid w:val="006C317E"/>
    <w:rsid w:val="006F3E4D"/>
    <w:rsid w:val="0075118B"/>
    <w:rsid w:val="007E20F0"/>
    <w:rsid w:val="007E72D7"/>
    <w:rsid w:val="007F0342"/>
    <w:rsid w:val="00824853"/>
    <w:rsid w:val="0087429E"/>
    <w:rsid w:val="0089528C"/>
    <w:rsid w:val="009217ED"/>
    <w:rsid w:val="00977DC9"/>
    <w:rsid w:val="009927CA"/>
    <w:rsid w:val="009E238D"/>
    <w:rsid w:val="00A9402F"/>
    <w:rsid w:val="00B534BC"/>
    <w:rsid w:val="00B95BAF"/>
    <w:rsid w:val="00C249D6"/>
    <w:rsid w:val="00C41033"/>
    <w:rsid w:val="00C976EC"/>
    <w:rsid w:val="00D429E9"/>
    <w:rsid w:val="00D5581C"/>
    <w:rsid w:val="00DC63D9"/>
    <w:rsid w:val="00DF5ABC"/>
    <w:rsid w:val="00E454C4"/>
    <w:rsid w:val="00E83EF8"/>
    <w:rsid w:val="00EA55F9"/>
    <w:rsid w:val="00ED304B"/>
    <w:rsid w:val="00F81323"/>
    <w:rsid w:val="00FB0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BBD56C7-4EB7-49D0-9C0B-84B077A61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24853"/>
    <w:pPr>
      <w:ind w:left="720"/>
      <w:contextualSpacing/>
    </w:pPr>
  </w:style>
  <w:style w:type="paragraph" w:styleId="Textedebulles">
    <w:name w:val="Balloon Text"/>
    <w:basedOn w:val="Normal"/>
    <w:link w:val="TextedebullesCar"/>
    <w:uiPriority w:val="99"/>
    <w:semiHidden/>
    <w:unhideWhenUsed/>
    <w:rsid w:val="00ED304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D304B"/>
    <w:rPr>
      <w:rFonts w:ascii="Segoe UI" w:hAnsi="Segoe UI" w:cs="Segoe UI"/>
      <w:sz w:val="18"/>
      <w:szCs w:val="18"/>
    </w:rPr>
  </w:style>
  <w:style w:type="paragraph" w:styleId="En-tte">
    <w:name w:val="header"/>
    <w:basedOn w:val="Normal"/>
    <w:link w:val="En-tteCar"/>
    <w:uiPriority w:val="99"/>
    <w:unhideWhenUsed/>
    <w:rsid w:val="00ED304B"/>
    <w:pPr>
      <w:tabs>
        <w:tab w:val="center" w:pos="4513"/>
        <w:tab w:val="right" w:pos="9026"/>
      </w:tabs>
      <w:spacing w:after="0" w:line="240" w:lineRule="auto"/>
    </w:pPr>
  </w:style>
  <w:style w:type="character" w:customStyle="1" w:styleId="En-tteCar">
    <w:name w:val="En-tête Car"/>
    <w:basedOn w:val="Policepardfaut"/>
    <w:link w:val="En-tte"/>
    <w:uiPriority w:val="99"/>
    <w:rsid w:val="00ED304B"/>
  </w:style>
  <w:style w:type="paragraph" w:styleId="Pieddepage">
    <w:name w:val="footer"/>
    <w:basedOn w:val="Normal"/>
    <w:link w:val="PieddepageCar"/>
    <w:uiPriority w:val="99"/>
    <w:unhideWhenUsed/>
    <w:rsid w:val="00ED304B"/>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ED3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913254">
      <w:bodyDiv w:val="1"/>
      <w:marLeft w:val="0"/>
      <w:marRight w:val="0"/>
      <w:marTop w:val="0"/>
      <w:marBottom w:val="0"/>
      <w:divBdr>
        <w:top w:val="none" w:sz="0" w:space="0" w:color="auto"/>
        <w:left w:val="none" w:sz="0" w:space="0" w:color="auto"/>
        <w:bottom w:val="none" w:sz="0" w:space="0" w:color="auto"/>
        <w:right w:val="none" w:sz="0" w:space="0" w:color="auto"/>
      </w:divBdr>
    </w:div>
    <w:div w:id="313678988">
      <w:bodyDiv w:val="1"/>
      <w:marLeft w:val="0"/>
      <w:marRight w:val="0"/>
      <w:marTop w:val="0"/>
      <w:marBottom w:val="0"/>
      <w:divBdr>
        <w:top w:val="none" w:sz="0" w:space="0" w:color="auto"/>
        <w:left w:val="none" w:sz="0" w:space="0" w:color="auto"/>
        <w:bottom w:val="none" w:sz="0" w:space="0" w:color="auto"/>
        <w:right w:val="none" w:sz="0" w:space="0" w:color="auto"/>
      </w:divBdr>
    </w:div>
    <w:div w:id="374893892">
      <w:bodyDiv w:val="1"/>
      <w:marLeft w:val="0"/>
      <w:marRight w:val="0"/>
      <w:marTop w:val="0"/>
      <w:marBottom w:val="0"/>
      <w:divBdr>
        <w:top w:val="none" w:sz="0" w:space="0" w:color="auto"/>
        <w:left w:val="none" w:sz="0" w:space="0" w:color="auto"/>
        <w:bottom w:val="none" w:sz="0" w:space="0" w:color="auto"/>
        <w:right w:val="none" w:sz="0" w:space="0" w:color="auto"/>
      </w:divBdr>
    </w:div>
    <w:div w:id="566303220">
      <w:bodyDiv w:val="1"/>
      <w:marLeft w:val="0"/>
      <w:marRight w:val="0"/>
      <w:marTop w:val="0"/>
      <w:marBottom w:val="0"/>
      <w:divBdr>
        <w:top w:val="none" w:sz="0" w:space="0" w:color="auto"/>
        <w:left w:val="none" w:sz="0" w:space="0" w:color="auto"/>
        <w:bottom w:val="none" w:sz="0" w:space="0" w:color="auto"/>
        <w:right w:val="none" w:sz="0" w:space="0" w:color="auto"/>
      </w:divBdr>
    </w:div>
    <w:div w:id="655106265">
      <w:bodyDiv w:val="1"/>
      <w:marLeft w:val="0"/>
      <w:marRight w:val="0"/>
      <w:marTop w:val="0"/>
      <w:marBottom w:val="0"/>
      <w:divBdr>
        <w:top w:val="none" w:sz="0" w:space="0" w:color="auto"/>
        <w:left w:val="none" w:sz="0" w:space="0" w:color="auto"/>
        <w:bottom w:val="none" w:sz="0" w:space="0" w:color="auto"/>
        <w:right w:val="none" w:sz="0" w:space="0" w:color="auto"/>
      </w:divBdr>
    </w:div>
    <w:div w:id="993024365">
      <w:bodyDiv w:val="1"/>
      <w:marLeft w:val="0"/>
      <w:marRight w:val="0"/>
      <w:marTop w:val="0"/>
      <w:marBottom w:val="0"/>
      <w:divBdr>
        <w:top w:val="none" w:sz="0" w:space="0" w:color="auto"/>
        <w:left w:val="none" w:sz="0" w:space="0" w:color="auto"/>
        <w:bottom w:val="none" w:sz="0" w:space="0" w:color="auto"/>
        <w:right w:val="none" w:sz="0" w:space="0" w:color="auto"/>
      </w:divBdr>
    </w:div>
    <w:div w:id="1141534804">
      <w:bodyDiv w:val="1"/>
      <w:marLeft w:val="0"/>
      <w:marRight w:val="0"/>
      <w:marTop w:val="0"/>
      <w:marBottom w:val="0"/>
      <w:divBdr>
        <w:top w:val="none" w:sz="0" w:space="0" w:color="auto"/>
        <w:left w:val="none" w:sz="0" w:space="0" w:color="auto"/>
        <w:bottom w:val="none" w:sz="0" w:space="0" w:color="auto"/>
        <w:right w:val="none" w:sz="0" w:space="0" w:color="auto"/>
      </w:divBdr>
    </w:div>
    <w:div w:id="1206025364">
      <w:bodyDiv w:val="1"/>
      <w:marLeft w:val="0"/>
      <w:marRight w:val="0"/>
      <w:marTop w:val="0"/>
      <w:marBottom w:val="0"/>
      <w:divBdr>
        <w:top w:val="none" w:sz="0" w:space="0" w:color="auto"/>
        <w:left w:val="none" w:sz="0" w:space="0" w:color="auto"/>
        <w:bottom w:val="none" w:sz="0" w:space="0" w:color="auto"/>
        <w:right w:val="none" w:sz="0" w:space="0" w:color="auto"/>
      </w:divBdr>
    </w:div>
    <w:div w:id="1415199094">
      <w:bodyDiv w:val="1"/>
      <w:marLeft w:val="0"/>
      <w:marRight w:val="0"/>
      <w:marTop w:val="0"/>
      <w:marBottom w:val="0"/>
      <w:divBdr>
        <w:top w:val="none" w:sz="0" w:space="0" w:color="auto"/>
        <w:left w:val="none" w:sz="0" w:space="0" w:color="auto"/>
        <w:bottom w:val="none" w:sz="0" w:space="0" w:color="auto"/>
        <w:right w:val="none" w:sz="0" w:space="0" w:color="auto"/>
      </w:divBdr>
    </w:div>
    <w:div w:id="1589922681">
      <w:bodyDiv w:val="1"/>
      <w:marLeft w:val="0"/>
      <w:marRight w:val="0"/>
      <w:marTop w:val="0"/>
      <w:marBottom w:val="0"/>
      <w:divBdr>
        <w:top w:val="none" w:sz="0" w:space="0" w:color="auto"/>
        <w:left w:val="none" w:sz="0" w:space="0" w:color="auto"/>
        <w:bottom w:val="none" w:sz="0" w:space="0" w:color="auto"/>
        <w:right w:val="none" w:sz="0" w:space="0" w:color="auto"/>
      </w:divBdr>
    </w:div>
    <w:div w:id="1609924350">
      <w:bodyDiv w:val="1"/>
      <w:marLeft w:val="0"/>
      <w:marRight w:val="0"/>
      <w:marTop w:val="0"/>
      <w:marBottom w:val="0"/>
      <w:divBdr>
        <w:top w:val="none" w:sz="0" w:space="0" w:color="auto"/>
        <w:left w:val="none" w:sz="0" w:space="0" w:color="auto"/>
        <w:bottom w:val="none" w:sz="0" w:space="0" w:color="auto"/>
        <w:right w:val="none" w:sz="0" w:space="0" w:color="auto"/>
      </w:divBdr>
    </w:div>
    <w:div w:id="1755010969">
      <w:bodyDiv w:val="1"/>
      <w:marLeft w:val="0"/>
      <w:marRight w:val="0"/>
      <w:marTop w:val="0"/>
      <w:marBottom w:val="0"/>
      <w:divBdr>
        <w:top w:val="none" w:sz="0" w:space="0" w:color="auto"/>
        <w:left w:val="none" w:sz="0" w:space="0" w:color="auto"/>
        <w:bottom w:val="none" w:sz="0" w:space="0" w:color="auto"/>
        <w:right w:val="none" w:sz="0" w:space="0" w:color="auto"/>
      </w:divBdr>
    </w:div>
    <w:div w:id="1985619102">
      <w:bodyDiv w:val="1"/>
      <w:marLeft w:val="0"/>
      <w:marRight w:val="0"/>
      <w:marTop w:val="0"/>
      <w:marBottom w:val="0"/>
      <w:divBdr>
        <w:top w:val="none" w:sz="0" w:space="0" w:color="auto"/>
        <w:left w:val="none" w:sz="0" w:space="0" w:color="auto"/>
        <w:bottom w:val="none" w:sz="0" w:space="0" w:color="auto"/>
        <w:right w:val="none" w:sz="0" w:space="0" w:color="auto"/>
      </w:divBdr>
    </w:div>
    <w:div w:id="2014868433">
      <w:bodyDiv w:val="1"/>
      <w:marLeft w:val="0"/>
      <w:marRight w:val="0"/>
      <w:marTop w:val="0"/>
      <w:marBottom w:val="0"/>
      <w:divBdr>
        <w:top w:val="none" w:sz="0" w:space="0" w:color="auto"/>
        <w:left w:val="none" w:sz="0" w:space="0" w:color="auto"/>
        <w:bottom w:val="none" w:sz="0" w:space="0" w:color="auto"/>
        <w:right w:val="none" w:sz="0" w:space="0" w:color="auto"/>
      </w:divBdr>
    </w:div>
    <w:div w:id="2057001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795E3-712F-4749-952A-DF25272CE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1114</TotalTime>
  <Pages>38</Pages>
  <Words>8010</Words>
  <Characters>45659</Characters>
  <Application>Microsoft Office Word</Application>
  <DocSecurity>0</DocSecurity>
  <Lines>380</Lines>
  <Paragraphs>107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Diamond Resorts</Company>
  <LinksUpToDate>false</LinksUpToDate>
  <CharactersWithSpaces>53562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Moise, Frantzcy (Contractor)</dc:creator>
  <cp:lastModifiedBy>Compte Microsoft</cp:lastModifiedBy>
  <cp:revision>11</cp:revision>
  <cp:lastPrinted>2019-06-21T01:24:00Z</cp:lastPrinted>
  <dcterms:created xsi:type="dcterms:W3CDTF">2019-04-25T00:28:00Z</dcterms:created>
  <dcterms:modified xsi:type="dcterms:W3CDTF">2020-11-28T22:57:00Z</dcterms:modified>
</cp:coreProperties>
</file>